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C1AE6" w14:textId="6AA1AD59" w:rsidR="006F54CE" w:rsidRPr="006204DA" w:rsidRDefault="006F54CE" w:rsidP="006F54CE">
      <w:pPr>
        <w:jc w:val="center"/>
        <w:rPr>
          <w:rFonts w:ascii="Arial" w:hAnsi="Arial" w:cs="Arial"/>
          <w:sz w:val="28"/>
          <w:szCs w:val="28"/>
        </w:rPr>
      </w:pPr>
      <w:bookmarkStart w:id="0" w:name="_Hlk80102355"/>
      <w:bookmarkEnd w:id="0"/>
      <w:r w:rsidRPr="006204DA">
        <w:rPr>
          <w:rFonts w:ascii="Arial" w:hAnsi="Arial" w:cs="Arial"/>
          <w:sz w:val="28"/>
          <w:szCs w:val="28"/>
        </w:rPr>
        <w:t>Supplement</w:t>
      </w:r>
      <w:r>
        <w:rPr>
          <w:rFonts w:ascii="Arial" w:hAnsi="Arial" w:cs="Arial"/>
          <w:sz w:val="28"/>
          <w:szCs w:val="28"/>
        </w:rPr>
        <w:t>ary Material</w:t>
      </w:r>
    </w:p>
    <w:p w14:paraId="786DA3A0" w14:textId="449DB76C" w:rsidR="006F54CE" w:rsidRPr="00B80F68" w:rsidRDefault="006F54CE" w:rsidP="00B80F68">
      <w:pPr>
        <w:spacing w:line="360" w:lineRule="auto"/>
        <w:jc w:val="center"/>
        <w:rPr>
          <w:rFonts w:ascii="Arial" w:hAnsi="Arial" w:cs="Arial"/>
          <w:b/>
          <w:bCs/>
          <w:sz w:val="28"/>
          <w:szCs w:val="28"/>
        </w:rPr>
      </w:pPr>
      <w:r w:rsidRPr="00B80F68">
        <w:rPr>
          <w:rFonts w:ascii="Arial" w:hAnsi="Arial" w:cs="Arial"/>
          <w:b/>
          <w:bCs/>
          <w:sz w:val="28"/>
          <w:szCs w:val="28"/>
        </w:rPr>
        <w:t>Assessing the impact of a national clinical guideline for the management of chronic pain on opioid prescribing rates in Scotland: A controlled interrupted time series analysis</w:t>
      </w:r>
    </w:p>
    <w:p w14:paraId="212B1D06" w14:textId="77777777" w:rsidR="006F54CE" w:rsidRPr="0061664B" w:rsidRDefault="006F54CE" w:rsidP="006F54CE">
      <w:pPr>
        <w:spacing w:line="360" w:lineRule="auto"/>
        <w:jc w:val="center"/>
        <w:rPr>
          <w:rFonts w:ascii="Arial" w:hAnsi="Arial" w:cs="Arial"/>
        </w:rPr>
      </w:pPr>
      <w:r w:rsidRPr="0061664B">
        <w:rPr>
          <w:rFonts w:ascii="Arial" w:eastAsia="Calibri" w:hAnsi="Arial" w:cs="Arial"/>
        </w:rPr>
        <w:t>Harry L. Hébert</w:t>
      </w:r>
      <w:r w:rsidRPr="0061664B">
        <w:rPr>
          <w:rFonts w:ascii="Arial" w:eastAsia="Calibri" w:hAnsi="Arial" w:cs="Arial"/>
          <w:vertAlign w:val="superscript"/>
        </w:rPr>
        <w:t>1*</w:t>
      </w:r>
      <w:r w:rsidRPr="0061664B">
        <w:rPr>
          <w:rFonts w:ascii="Arial" w:eastAsia="Calibri" w:hAnsi="Arial" w:cs="Arial"/>
        </w:rPr>
        <w:t xml:space="preserve">, </w:t>
      </w:r>
      <w:r w:rsidRPr="0061664B">
        <w:rPr>
          <w:rFonts w:ascii="Arial" w:hAnsi="Arial" w:cs="Arial"/>
        </w:rPr>
        <w:t>Daniel R. Morales</w:t>
      </w:r>
      <w:r w:rsidRPr="0061664B">
        <w:rPr>
          <w:rFonts w:ascii="Arial" w:hAnsi="Arial" w:cs="Arial"/>
          <w:vertAlign w:val="superscript"/>
        </w:rPr>
        <w:t>1</w:t>
      </w:r>
      <w:r w:rsidRPr="0061664B">
        <w:rPr>
          <w:rFonts w:ascii="Arial" w:hAnsi="Arial" w:cs="Arial"/>
        </w:rPr>
        <w:t>, Nicola Torrance</w:t>
      </w:r>
      <w:r w:rsidRPr="0061664B">
        <w:rPr>
          <w:rFonts w:ascii="Arial" w:hAnsi="Arial" w:cs="Arial"/>
          <w:vertAlign w:val="superscript"/>
        </w:rPr>
        <w:t>2</w:t>
      </w:r>
      <w:r w:rsidRPr="0061664B">
        <w:rPr>
          <w:rFonts w:ascii="Arial" w:hAnsi="Arial" w:cs="Arial"/>
        </w:rPr>
        <w:t>, Blair H. Smith</w:t>
      </w:r>
      <w:r w:rsidRPr="0061664B">
        <w:rPr>
          <w:rFonts w:ascii="Arial" w:hAnsi="Arial" w:cs="Arial"/>
          <w:vertAlign w:val="superscript"/>
        </w:rPr>
        <w:t>1,3</w:t>
      </w:r>
      <w:r w:rsidRPr="0061664B">
        <w:rPr>
          <w:rFonts w:ascii="Arial" w:hAnsi="Arial" w:cs="Arial"/>
        </w:rPr>
        <w:t>, Lesley A. Colvin</w:t>
      </w:r>
      <w:r w:rsidRPr="0061664B">
        <w:rPr>
          <w:rFonts w:ascii="Arial" w:hAnsi="Arial" w:cs="Arial"/>
          <w:vertAlign w:val="superscript"/>
        </w:rPr>
        <w:t>1,3</w:t>
      </w:r>
    </w:p>
    <w:p w14:paraId="0E05383D" w14:textId="77777777" w:rsidR="006F54CE" w:rsidRPr="008735E7" w:rsidRDefault="006F54CE" w:rsidP="006F54CE">
      <w:pPr>
        <w:pStyle w:val="ListParagraph"/>
        <w:numPr>
          <w:ilvl w:val="0"/>
          <w:numId w:val="1"/>
        </w:numPr>
        <w:spacing w:line="360" w:lineRule="auto"/>
        <w:jc w:val="both"/>
        <w:rPr>
          <w:rFonts w:ascii="Arial" w:hAnsi="Arial" w:cs="Arial"/>
          <w:sz w:val="24"/>
          <w:szCs w:val="24"/>
        </w:rPr>
      </w:pPr>
      <w:r w:rsidRPr="008735E7">
        <w:rPr>
          <w:rFonts w:ascii="Arial" w:hAnsi="Arial" w:cs="Arial"/>
          <w:sz w:val="24"/>
          <w:szCs w:val="24"/>
        </w:rPr>
        <w:t xml:space="preserve">Division of Population Health and Genomics, </w:t>
      </w:r>
      <w:r>
        <w:rPr>
          <w:rFonts w:ascii="Arial" w:hAnsi="Arial" w:cs="Arial"/>
          <w:sz w:val="24"/>
          <w:szCs w:val="24"/>
        </w:rPr>
        <w:t xml:space="preserve">School of Medicine, </w:t>
      </w:r>
      <w:r w:rsidRPr="008735E7">
        <w:rPr>
          <w:rFonts w:ascii="Arial" w:hAnsi="Arial" w:cs="Arial"/>
          <w:sz w:val="24"/>
          <w:szCs w:val="24"/>
        </w:rPr>
        <w:t>Ninewells Hospital and Medical School, University of Dundee, Dundee, UK.</w:t>
      </w:r>
    </w:p>
    <w:p w14:paraId="794B3374" w14:textId="77777777" w:rsidR="006F54CE" w:rsidRDefault="006F54CE" w:rsidP="006F54CE">
      <w:pPr>
        <w:pStyle w:val="ListParagraph"/>
        <w:numPr>
          <w:ilvl w:val="0"/>
          <w:numId w:val="1"/>
        </w:numPr>
        <w:spacing w:line="360" w:lineRule="auto"/>
        <w:jc w:val="both"/>
        <w:rPr>
          <w:rFonts w:ascii="Arial" w:hAnsi="Arial" w:cs="Arial"/>
          <w:sz w:val="24"/>
          <w:szCs w:val="24"/>
        </w:rPr>
      </w:pPr>
      <w:r w:rsidRPr="008735E7">
        <w:rPr>
          <w:rFonts w:ascii="Arial" w:hAnsi="Arial" w:cs="Arial"/>
          <w:sz w:val="24"/>
          <w:szCs w:val="24"/>
        </w:rPr>
        <w:t>School of Nursing, Midwifery &amp; Paramedic Practice, Robert Gordon University, Aberdeen, UK.</w:t>
      </w:r>
    </w:p>
    <w:p w14:paraId="5501EB4A" w14:textId="77777777" w:rsidR="006F54CE" w:rsidRDefault="006F54CE" w:rsidP="006F54CE">
      <w:pPr>
        <w:pStyle w:val="ListParagraph"/>
        <w:numPr>
          <w:ilvl w:val="0"/>
          <w:numId w:val="1"/>
        </w:numPr>
        <w:spacing w:line="360" w:lineRule="auto"/>
        <w:jc w:val="both"/>
        <w:rPr>
          <w:rFonts w:ascii="Arial" w:hAnsi="Arial" w:cs="Arial"/>
          <w:sz w:val="24"/>
          <w:szCs w:val="24"/>
        </w:rPr>
      </w:pPr>
      <w:r>
        <w:rPr>
          <w:rFonts w:ascii="Arial" w:hAnsi="Arial" w:cs="Arial"/>
          <w:sz w:val="24"/>
          <w:szCs w:val="24"/>
        </w:rPr>
        <w:t>Joint senior authors</w:t>
      </w:r>
    </w:p>
    <w:p w14:paraId="0DA5892C" w14:textId="124399B2" w:rsidR="00C41A3E" w:rsidRDefault="00C41A3E"/>
    <w:p w14:paraId="433E3F94" w14:textId="77777777" w:rsidR="006F54CE" w:rsidRDefault="006F54CE">
      <w:pPr>
        <w:sectPr w:rsidR="006F54CE">
          <w:footerReference w:type="default" r:id="rId8"/>
          <w:pgSz w:w="11906" w:h="16838"/>
          <w:pgMar w:top="1440" w:right="1440" w:bottom="1440" w:left="1440" w:header="708" w:footer="708" w:gutter="0"/>
          <w:cols w:space="708"/>
          <w:docGrid w:linePitch="360"/>
        </w:sectPr>
      </w:pPr>
    </w:p>
    <w:bookmarkStart w:id="1" w:name="_Toc78476487" w:displacedByCustomXml="next"/>
    <w:sdt>
      <w:sdtPr>
        <w:rPr>
          <w:rFonts w:asciiTheme="minorHAnsi" w:eastAsiaTheme="minorHAnsi" w:hAnsiTheme="minorHAnsi" w:cstheme="minorBidi"/>
          <w:b w:val="0"/>
          <w:color w:val="auto"/>
          <w:sz w:val="22"/>
          <w:szCs w:val="22"/>
          <w:lang w:val="en-GB"/>
        </w:rPr>
        <w:id w:val="1116417880"/>
        <w:docPartObj>
          <w:docPartGallery w:val="Table of Contents"/>
          <w:docPartUnique/>
        </w:docPartObj>
      </w:sdtPr>
      <w:sdtEndPr>
        <w:rPr>
          <w:bCs/>
          <w:noProof/>
        </w:rPr>
      </w:sdtEndPr>
      <w:sdtContent>
        <w:p w14:paraId="68711E4F" w14:textId="1314D542" w:rsidR="005A18D8" w:rsidRDefault="005A18D8">
          <w:pPr>
            <w:pStyle w:val="TOCHeading"/>
          </w:pPr>
          <w:r>
            <w:t>Contents</w:t>
          </w:r>
        </w:p>
        <w:p w14:paraId="25EEB2BB" w14:textId="41BDF9D0" w:rsidR="005A18D8" w:rsidRDefault="005A18D8">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anchor="_Toc114677326" w:history="1">
            <w:r w:rsidRPr="00317290">
              <w:rPr>
                <w:rStyle w:val="Hyperlink"/>
                <w:b/>
                <w:noProof/>
              </w:rPr>
              <w:t xml:space="preserve">Supplementary Box S1. </w:t>
            </w:r>
            <w:r w:rsidRPr="00317290">
              <w:rPr>
                <w:rStyle w:val="Hyperlink"/>
                <w:noProof/>
              </w:rPr>
              <w:t>Summary of the original SIGN 136 guideline (2013 edition) intervention for use of opioids in the management of adults with chronic non-malignant pain in non-specialist settings</w:t>
            </w:r>
            <w:r>
              <w:rPr>
                <w:noProof/>
                <w:webHidden/>
              </w:rPr>
              <w:tab/>
            </w:r>
            <w:r>
              <w:rPr>
                <w:noProof/>
                <w:webHidden/>
              </w:rPr>
              <w:fldChar w:fldCharType="begin"/>
            </w:r>
            <w:r>
              <w:rPr>
                <w:noProof/>
                <w:webHidden/>
              </w:rPr>
              <w:instrText xml:space="preserve"> PAGEREF _Toc114677326 \h </w:instrText>
            </w:r>
            <w:r>
              <w:rPr>
                <w:noProof/>
                <w:webHidden/>
              </w:rPr>
            </w:r>
            <w:r>
              <w:rPr>
                <w:noProof/>
                <w:webHidden/>
              </w:rPr>
              <w:fldChar w:fldCharType="separate"/>
            </w:r>
            <w:r>
              <w:rPr>
                <w:noProof/>
                <w:webHidden/>
              </w:rPr>
              <w:t>4</w:t>
            </w:r>
            <w:r>
              <w:rPr>
                <w:noProof/>
                <w:webHidden/>
              </w:rPr>
              <w:fldChar w:fldCharType="end"/>
            </w:r>
          </w:hyperlink>
        </w:p>
        <w:p w14:paraId="514B83C7" w14:textId="04854370" w:rsidR="005A18D8" w:rsidRDefault="00234257">
          <w:pPr>
            <w:pStyle w:val="TOC1"/>
            <w:tabs>
              <w:tab w:val="right" w:leader="dot" w:pos="9016"/>
            </w:tabs>
            <w:rPr>
              <w:rFonts w:eastAsiaTheme="minorEastAsia"/>
              <w:noProof/>
              <w:lang w:eastAsia="en-GB"/>
            </w:rPr>
          </w:pPr>
          <w:hyperlink w:anchor="_Toc114677327" w:history="1">
            <w:r w:rsidR="005A18D8" w:rsidRPr="00317290">
              <w:rPr>
                <w:rStyle w:val="Hyperlink"/>
                <w:b/>
                <w:noProof/>
              </w:rPr>
              <w:t xml:space="preserve">Supplementary Box S2. </w:t>
            </w:r>
            <w:r w:rsidR="005A18D8" w:rsidRPr="00317290">
              <w:rPr>
                <w:rStyle w:val="Hyperlink"/>
                <w:noProof/>
              </w:rPr>
              <w:t>Summary of the original SIGN 136 guideline (2013 edition) recommendations for use of gabapentinoids (gabapentin and pregabalin) in the management of adults with chronic non-malignant pain in non-specialist settings</w:t>
            </w:r>
            <w:r w:rsidR="005A18D8">
              <w:rPr>
                <w:noProof/>
                <w:webHidden/>
              </w:rPr>
              <w:tab/>
            </w:r>
            <w:r w:rsidR="005A18D8">
              <w:rPr>
                <w:noProof/>
                <w:webHidden/>
              </w:rPr>
              <w:fldChar w:fldCharType="begin"/>
            </w:r>
            <w:r w:rsidR="005A18D8">
              <w:rPr>
                <w:noProof/>
                <w:webHidden/>
              </w:rPr>
              <w:instrText xml:space="preserve"> PAGEREF _Toc114677327 \h </w:instrText>
            </w:r>
            <w:r w:rsidR="005A18D8">
              <w:rPr>
                <w:noProof/>
                <w:webHidden/>
              </w:rPr>
            </w:r>
            <w:r w:rsidR="005A18D8">
              <w:rPr>
                <w:noProof/>
                <w:webHidden/>
              </w:rPr>
              <w:fldChar w:fldCharType="separate"/>
            </w:r>
            <w:r w:rsidR="005A18D8">
              <w:rPr>
                <w:noProof/>
                <w:webHidden/>
              </w:rPr>
              <w:t>5</w:t>
            </w:r>
            <w:r w:rsidR="005A18D8">
              <w:rPr>
                <w:noProof/>
                <w:webHidden/>
              </w:rPr>
              <w:fldChar w:fldCharType="end"/>
            </w:r>
          </w:hyperlink>
        </w:p>
        <w:p w14:paraId="590B4CF2" w14:textId="584F9144" w:rsidR="005A18D8" w:rsidRDefault="00234257">
          <w:pPr>
            <w:pStyle w:val="TOC1"/>
            <w:tabs>
              <w:tab w:val="right" w:leader="dot" w:pos="9016"/>
            </w:tabs>
            <w:rPr>
              <w:rFonts w:eastAsiaTheme="minorEastAsia"/>
              <w:noProof/>
              <w:lang w:eastAsia="en-GB"/>
            </w:rPr>
          </w:pPr>
          <w:hyperlink w:anchor="_Toc114677328" w:history="1">
            <w:r w:rsidR="005A18D8" w:rsidRPr="00317290">
              <w:rPr>
                <w:rStyle w:val="Hyperlink"/>
                <w:b/>
                <w:noProof/>
              </w:rPr>
              <w:t>Supplementary Table S1.</w:t>
            </w:r>
            <w:r w:rsidR="005A18D8" w:rsidRPr="00317290">
              <w:rPr>
                <w:rStyle w:val="Hyperlink"/>
                <w:noProof/>
              </w:rPr>
              <w:t xml:space="preserve"> Framework for Enhanced Reporting of Interrupted Time Series Studies (FERITS) Statement</w:t>
            </w:r>
            <w:r w:rsidR="005A18D8">
              <w:rPr>
                <w:noProof/>
                <w:webHidden/>
              </w:rPr>
              <w:tab/>
            </w:r>
            <w:r w:rsidR="005A18D8">
              <w:rPr>
                <w:noProof/>
                <w:webHidden/>
              </w:rPr>
              <w:fldChar w:fldCharType="begin"/>
            </w:r>
            <w:r w:rsidR="005A18D8">
              <w:rPr>
                <w:noProof/>
                <w:webHidden/>
              </w:rPr>
              <w:instrText xml:space="preserve"> PAGEREF _Toc114677328 \h </w:instrText>
            </w:r>
            <w:r w:rsidR="005A18D8">
              <w:rPr>
                <w:noProof/>
                <w:webHidden/>
              </w:rPr>
            </w:r>
            <w:r w:rsidR="005A18D8">
              <w:rPr>
                <w:noProof/>
                <w:webHidden/>
              </w:rPr>
              <w:fldChar w:fldCharType="separate"/>
            </w:r>
            <w:r w:rsidR="005A18D8">
              <w:rPr>
                <w:noProof/>
                <w:webHidden/>
              </w:rPr>
              <w:t>6</w:t>
            </w:r>
            <w:r w:rsidR="005A18D8">
              <w:rPr>
                <w:noProof/>
                <w:webHidden/>
              </w:rPr>
              <w:fldChar w:fldCharType="end"/>
            </w:r>
          </w:hyperlink>
        </w:p>
        <w:p w14:paraId="2193D015" w14:textId="13B3982E" w:rsidR="005A18D8" w:rsidRDefault="00234257">
          <w:pPr>
            <w:pStyle w:val="TOC1"/>
            <w:tabs>
              <w:tab w:val="right" w:leader="dot" w:pos="9016"/>
            </w:tabs>
            <w:rPr>
              <w:rFonts w:eastAsiaTheme="minorEastAsia"/>
              <w:noProof/>
              <w:lang w:eastAsia="en-GB"/>
            </w:rPr>
          </w:pPr>
          <w:hyperlink w:anchor="_Toc114677329" w:history="1">
            <w:r w:rsidR="005A18D8" w:rsidRPr="00317290">
              <w:rPr>
                <w:rStyle w:val="Hyperlink"/>
                <w:b/>
                <w:bCs/>
                <w:noProof/>
              </w:rPr>
              <w:t>Supplementary Table S2.</w:t>
            </w:r>
            <w:r w:rsidR="005A18D8" w:rsidRPr="00317290">
              <w:rPr>
                <w:rStyle w:val="Hyperlink"/>
                <w:noProof/>
              </w:rPr>
              <w:t xml:space="preserve"> List of opioids (BNF chapter 4.7.2), opioid-containing combination analgesics and gabapentinoid drugs included in the study and the number of items prescribed in Scotland between Q1 2005 and Q2 2020</w:t>
            </w:r>
            <w:r w:rsidR="005A18D8">
              <w:rPr>
                <w:noProof/>
                <w:webHidden/>
              </w:rPr>
              <w:tab/>
            </w:r>
            <w:r w:rsidR="005A18D8">
              <w:rPr>
                <w:noProof/>
                <w:webHidden/>
              </w:rPr>
              <w:fldChar w:fldCharType="begin"/>
            </w:r>
            <w:r w:rsidR="005A18D8">
              <w:rPr>
                <w:noProof/>
                <w:webHidden/>
              </w:rPr>
              <w:instrText xml:space="preserve"> PAGEREF _Toc114677329 \h </w:instrText>
            </w:r>
            <w:r w:rsidR="005A18D8">
              <w:rPr>
                <w:noProof/>
                <w:webHidden/>
              </w:rPr>
            </w:r>
            <w:r w:rsidR="005A18D8">
              <w:rPr>
                <w:noProof/>
                <w:webHidden/>
              </w:rPr>
              <w:fldChar w:fldCharType="separate"/>
            </w:r>
            <w:r w:rsidR="005A18D8">
              <w:rPr>
                <w:noProof/>
                <w:webHidden/>
              </w:rPr>
              <w:t>9</w:t>
            </w:r>
            <w:r w:rsidR="005A18D8">
              <w:rPr>
                <w:noProof/>
                <w:webHidden/>
              </w:rPr>
              <w:fldChar w:fldCharType="end"/>
            </w:r>
          </w:hyperlink>
        </w:p>
        <w:p w14:paraId="3EA28C3F" w14:textId="7BC8C3F0" w:rsidR="005A18D8" w:rsidRDefault="00234257">
          <w:pPr>
            <w:pStyle w:val="TOC1"/>
            <w:tabs>
              <w:tab w:val="right" w:leader="dot" w:pos="9016"/>
            </w:tabs>
            <w:rPr>
              <w:rFonts w:eastAsiaTheme="minorEastAsia"/>
              <w:noProof/>
              <w:lang w:eastAsia="en-GB"/>
            </w:rPr>
          </w:pPr>
          <w:hyperlink w:anchor="_Toc114677330" w:history="1">
            <w:r w:rsidR="005A18D8" w:rsidRPr="00317290">
              <w:rPr>
                <w:rStyle w:val="Hyperlink"/>
                <w:b/>
                <w:bCs/>
                <w:noProof/>
              </w:rPr>
              <w:t>Supplementary Table S3.</w:t>
            </w:r>
            <w:r w:rsidR="005A18D8" w:rsidRPr="00317290">
              <w:rPr>
                <w:rStyle w:val="Hyperlink"/>
                <w:noProof/>
              </w:rPr>
              <w:t xml:space="preserve"> Mid-year population estimates for Scotland</w:t>
            </w:r>
            <w:r w:rsidR="005A18D8">
              <w:rPr>
                <w:noProof/>
                <w:webHidden/>
              </w:rPr>
              <w:tab/>
            </w:r>
            <w:r w:rsidR="005A18D8">
              <w:rPr>
                <w:noProof/>
                <w:webHidden/>
              </w:rPr>
              <w:fldChar w:fldCharType="begin"/>
            </w:r>
            <w:r w:rsidR="005A18D8">
              <w:rPr>
                <w:noProof/>
                <w:webHidden/>
              </w:rPr>
              <w:instrText xml:space="preserve"> PAGEREF _Toc114677330 \h </w:instrText>
            </w:r>
            <w:r w:rsidR="005A18D8">
              <w:rPr>
                <w:noProof/>
                <w:webHidden/>
              </w:rPr>
            </w:r>
            <w:r w:rsidR="005A18D8">
              <w:rPr>
                <w:noProof/>
                <w:webHidden/>
              </w:rPr>
              <w:fldChar w:fldCharType="separate"/>
            </w:r>
            <w:r w:rsidR="005A18D8">
              <w:rPr>
                <w:noProof/>
                <w:webHidden/>
              </w:rPr>
              <w:t>10</w:t>
            </w:r>
            <w:r w:rsidR="005A18D8">
              <w:rPr>
                <w:noProof/>
                <w:webHidden/>
              </w:rPr>
              <w:fldChar w:fldCharType="end"/>
            </w:r>
          </w:hyperlink>
        </w:p>
        <w:p w14:paraId="7CEB25D3" w14:textId="6BCFCC87" w:rsidR="005A18D8" w:rsidRDefault="00234257">
          <w:pPr>
            <w:pStyle w:val="TOC1"/>
            <w:tabs>
              <w:tab w:val="right" w:leader="dot" w:pos="9016"/>
            </w:tabs>
            <w:rPr>
              <w:rFonts w:eastAsiaTheme="minorEastAsia"/>
              <w:noProof/>
              <w:lang w:eastAsia="en-GB"/>
            </w:rPr>
          </w:pPr>
          <w:hyperlink w:anchor="_Toc114677331" w:history="1">
            <w:r w:rsidR="005A18D8" w:rsidRPr="00317290">
              <w:rPr>
                <w:rStyle w:val="Hyperlink"/>
                <w:b/>
                <w:bCs/>
                <w:noProof/>
              </w:rPr>
              <w:t>Supplementary Table S4</w:t>
            </w:r>
            <w:r w:rsidR="005A18D8" w:rsidRPr="00317290">
              <w:rPr>
                <w:rStyle w:val="Hyperlink"/>
                <w:noProof/>
              </w:rPr>
              <w:t>. Mid-year population estimates for age and gender demographics in Scotland</w:t>
            </w:r>
            <w:r w:rsidR="005A18D8">
              <w:rPr>
                <w:noProof/>
                <w:webHidden/>
              </w:rPr>
              <w:tab/>
            </w:r>
            <w:r w:rsidR="005A18D8">
              <w:rPr>
                <w:noProof/>
                <w:webHidden/>
              </w:rPr>
              <w:fldChar w:fldCharType="begin"/>
            </w:r>
            <w:r w:rsidR="005A18D8">
              <w:rPr>
                <w:noProof/>
                <w:webHidden/>
              </w:rPr>
              <w:instrText xml:space="preserve"> PAGEREF _Toc114677331 \h </w:instrText>
            </w:r>
            <w:r w:rsidR="005A18D8">
              <w:rPr>
                <w:noProof/>
                <w:webHidden/>
              </w:rPr>
            </w:r>
            <w:r w:rsidR="005A18D8">
              <w:rPr>
                <w:noProof/>
                <w:webHidden/>
              </w:rPr>
              <w:fldChar w:fldCharType="separate"/>
            </w:r>
            <w:r w:rsidR="005A18D8">
              <w:rPr>
                <w:noProof/>
                <w:webHidden/>
              </w:rPr>
              <w:t>11</w:t>
            </w:r>
            <w:r w:rsidR="005A18D8">
              <w:rPr>
                <w:noProof/>
                <w:webHidden/>
              </w:rPr>
              <w:fldChar w:fldCharType="end"/>
            </w:r>
          </w:hyperlink>
        </w:p>
        <w:p w14:paraId="641700CB" w14:textId="6CEBDF97" w:rsidR="005A18D8" w:rsidRDefault="00234257">
          <w:pPr>
            <w:pStyle w:val="TOC1"/>
            <w:tabs>
              <w:tab w:val="right" w:leader="dot" w:pos="9016"/>
            </w:tabs>
            <w:rPr>
              <w:rFonts w:eastAsiaTheme="minorEastAsia"/>
              <w:noProof/>
              <w:lang w:eastAsia="en-GB"/>
            </w:rPr>
          </w:pPr>
          <w:hyperlink w:anchor="_Toc114677332" w:history="1">
            <w:r w:rsidR="005A18D8" w:rsidRPr="00317290">
              <w:rPr>
                <w:rStyle w:val="Hyperlink"/>
                <w:b/>
                <w:bCs/>
                <w:noProof/>
              </w:rPr>
              <w:t>Supplementary Table S5.</w:t>
            </w:r>
            <w:r w:rsidR="005A18D8" w:rsidRPr="00317290">
              <w:rPr>
                <w:rStyle w:val="Hyperlink"/>
                <w:noProof/>
              </w:rPr>
              <w:t xml:space="preserve"> Results of the controlled interrupted time series analysis of weak</w:t>
            </w:r>
            <w:r w:rsidR="005A18D8" w:rsidRPr="00317290">
              <w:rPr>
                <w:rStyle w:val="Hyperlink"/>
                <w:noProof/>
                <w:vertAlign w:val="superscript"/>
              </w:rPr>
              <w:t>1</w:t>
            </w:r>
            <w:r w:rsidR="005A18D8" w:rsidRPr="00317290">
              <w:rPr>
                <w:rStyle w:val="Hyperlink"/>
                <w:noProof/>
              </w:rPr>
              <w:t xml:space="preserve"> compared to strong opioid</w:t>
            </w:r>
            <w:r w:rsidR="005A18D8" w:rsidRPr="00317290">
              <w:rPr>
                <w:rStyle w:val="Hyperlink"/>
                <w:noProof/>
                <w:vertAlign w:val="superscript"/>
              </w:rPr>
              <w:t>2</w:t>
            </w:r>
            <w:r w:rsidR="005A18D8" w:rsidRPr="00317290">
              <w:rPr>
                <w:rStyle w:val="Hyperlink"/>
                <w:noProof/>
              </w:rPr>
              <w:t xml:space="preserve"> prescribing rates in Scotland</w:t>
            </w:r>
            <w:r w:rsidR="005A18D8">
              <w:rPr>
                <w:noProof/>
                <w:webHidden/>
              </w:rPr>
              <w:tab/>
            </w:r>
            <w:r w:rsidR="005A18D8">
              <w:rPr>
                <w:noProof/>
                <w:webHidden/>
              </w:rPr>
              <w:fldChar w:fldCharType="begin"/>
            </w:r>
            <w:r w:rsidR="005A18D8">
              <w:rPr>
                <w:noProof/>
                <w:webHidden/>
              </w:rPr>
              <w:instrText xml:space="preserve"> PAGEREF _Toc114677332 \h </w:instrText>
            </w:r>
            <w:r w:rsidR="005A18D8">
              <w:rPr>
                <w:noProof/>
                <w:webHidden/>
              </w:rPr>
            </w:r>
            <w:r w:rsidR="005A18D8">
              <w:rPr>
                <w:noProof/>
                <w:webHidden/>
              </w:rPr>
              <w:fldChar w:fldCharType="separate"/>
            </w:r>
            <w:r w:rsidR="005A18D8">
              <w:rPr>
                <w:noProof/>
                <w:webHidden/>
              </w:rPr>
              <w:t>12</w:t>
            </w:r>
            <w:r w:rsidR="005A18D8">
              <w:rPr>
                <w:noProof/>
                <w:webHidden/>
              </w:rPr>
              <w:fldChar w:fldCharType="end"/>
            </w:r>
          </w:hyperlink>
        </w:p>
        <w:p w14:paraId="61865060" w14:textId="322E39AF" w:rsidR="005A18D8" w:rsidRDefault="00234257">
          <w:pPr>
            <w:pStyle w:val="TOC1"/>
            <w:tabs>
              <w:tab w:val="right" w:leader="dot" w:pos="9016"/>
            </w:tabs>
            <w:rPr>
              <w:rFonts w:eastAsiaTheme="minorEastAsia"/>
              <w:noProof/>
              <w:lang w:eastAsia="en-GB"/>
            </w:rPr>
          </w:pPr>
          <w:hyperlink w:anchor="_Toc114677333" w:history="1">
            <w:r w:rsidR="005A18D8" w:rsidRPr="00317290">
              <w:rPr>
                <w:rStyle w:val="Hyperlink"/>
                <w:b/>
                <w:bCs/>
                <w:noProof/>
              </w:rPr>
              <w:t>Supplementary Table S6.</w:t>
            </w:r>
            <w:r w:rsidR="005A18D8" w:rsidRPr="00317290">
              <w:rPr>
                <w:rStyle w:val="Hyperlink"/>
                <w:noProof/>
              </w:rPr>
              <w:t xml:space="preserve"> Results of the single interrupted time series analyses of female and male opioid prescribing rates in Scotland</w:t>
            </w:r>
            <w:r w:rsidR="005A18D8">
              <w:rPr>
                <w:noProof/>
                <w:webHidden/>
              </w:rPr>
              <w:tab/>
            </w:r>
            <w:r w:rsidR="005A18D8">
              <w:rPr>
                <w:noProof/>
                <w:webHidden/>
              </w:rPr>
              <w:fldChar w:fldCharType="begin"/>
            </w:r>
            <w:r w:rsidR="005A18D8">
              <w:rPr>
                <w:noProof/>
                <w:webHidden/>
              </w:rPr>
              <w:instrText xml:space="preserve"> PAGEREF _Toc114677333 \h </w:instrText>
            </w:r>
            <w:r w:rsidR="005A18D8">
              <w:rPr>
                <w:noProof/>
                <w:webHidden/>
              </w:rPr>
            </w:r>
            <w:r w:rsidR="005A18D8">
              <w:rPr>
                <w:noProof/>
                <w:webHidden/>
              </w:rPr>
              <w:fldChar w:fldCharType="separate"/>
            </w:r>
            <w:r w:rsidR="005A18D8">
              <w:rPr>
                <w:noProof/>
                <w:webHidden/>
              </w:rPr>
              <w:t>13</w:t>
            </w:r>
            <w:r w:rsidR="005A18D8">
              <w:rPr>
                <w:noProof/>
                <w:webHidden/>
              </w:rPr>
              <w:fldChar w:fldCharType="end"/>
            </w:r>
          </w:hyperlink>
        </w:p>
        <w:p w14:paraId="78C64A8A" w14:textId="5A05C417" w:rsidR="005A18D8" w:rsidRDefault="00234257">
          <w:pPr>
            <w:pStyle w:val="TOC1"/>
            <w:tabs>
              <w:tab w:val="right" w:leader="dot" w:pos="9016"/>
            </w:tabs>
            <w:rPr>
              <w:rFonts w:eastAsiaTheme="minorEastAsia"/>
              <w:noProof/>
              <w:lang w:eastAsia="en-GB"/>
            </w:rPr>
          </w:pPr>
          <w:hyperlink w:anchor="_Toc114677334" w:history="1">
            <w:r w:rsidR="005A18D8" w:rsidRPr="00317290">
              <w:rPr>
                <w:rStyle w:val="Hyperlink"/>
                <w:b/>
                <w:bCs/>
                <w:noProof/>
              </w:rPr>
              <w:t>Supplementary Table S7.</w:t>
            </w:r>
            <w:r w:rsidR="005A18D8" w:rsidRPr="00317290">
              <w:rPr>
                <w:rStyle w:val="Hyperlink"/>
                <w:noProof/>
              </w:rPr>
              <w:t xml:space="preserve"> Results of the controlled interrupted time series analysis of females compared to male opioid prescribing rates in Scotland</w:t>
            </w:r>
            <w:r w:rsidR="005A18D8">
              <w:rPr>
                <w:noProof/>
                <w:webHidden/>
              </w:rPr>
              <w:tab/>
            </w:r>
            <w:r w:rsidR="005A18D8">
              <w:rPr>
                <w:noProof/>
                <w:webHidden/>
              </w:rPr>
              <w:fldChar w:fldCharType="begin"/>
            </w:r>
            <w:r w:rsidR="005A18D8">
              <w:rPr>
                <w:noProof/>
                <w:webHidden/>
              </w:rPr>
              <w:instrText xml:space="preserve"> PAGEREF _Toc114677334 \h </w:instrText>
            </w:r>
            <w:r w:rsidR="005A18D8">
              <w:rPr>
                <w:noProof/>
                <w:webHidden/>
              </w:rPr>
            </w:r>
            <w:r w:rsidR="005A18D8">
              <w:rPr>
                <w:noProof/>
                <w:webHidden/>
              </w:rPr>
              <w:fldChar w:fldCharType="separate"/>
            </w:r>
            <w:r w:rsidR="005A18D8">
              <w:rPr>
                <w:noProof/>
                <w:webHidden/>
              </w:rPr>
              <w:t>14</w:t>
            </w:r>
            <w:r w:rsidR="005A18D8">
              <w:rPr>
                <w:noProof/>
                <w:webHidden/>
              </w:rPr>
              <w:fldChar w:fldCharType="end"/>
            </w:r>
          </w:hyperlink>
        </w:p>
        <w:p w14:paraId="6A267DE7" w14:textId="4C734BD8" w:rsidR="005A18D8" w:rsidRDefault="00234257">
          <w:pPr>
            <w:pStyle w:val="TOC1"/>
            <w:tabs>
              <w:tab w:val="right" w:leader="dot" w:pos="9016"/>
            </w:tabs>
            <w:rPr>
              <w:rFonts w:eastAsiaTheme="minorEastAsia"/>
              <w:noProof/>
              <w:lang w:eastAsia="en-GB"/>
            </w:rPr>
          </w:pPr>
          <w:hyperlink w:anchor="_Toc114677335" w:history="1">
            <w:r w:rsidR="005A18D8" w:rsidRPr="00317290">
              <w:rPr>
                <w:rStyle w:val="Hyperlink"/>
                <w:b/>
                <w:bCs/>
                <w:noProof/>
              </w:rPr>
              <w:t>Supplementary Table S8.</w:t>
            </w:r>
            <w:r w:rsidR="005A18D8" w:rsidRPr="00317290">
              <w:rPr>
                <w:rStyle w:val="Hyperlink"/>
                <w:noProof/>
              </w:rPr>
              <w:t xml:space="preserve"> Results of the single interrupted time series analyses of opioid prescribing rates by age category in Scotland</w:t>
            </w:r>
            <w:r w:rsidR="005A18D8">
              <w:rPr>
                <w:noProof/>
                <w:webHidden/>
              </w:rPr>
              <w:tab/>
            </w:r>
            <w:r w:rsidR="005A18D8">
              <w:rPr>
                <w:noProof/>
                <w:webHidden/>
              </w:rPr>
              <w:fldChar w:fldCharType="begin"/>
            </w:r>
            <w:r w:rsidR="005A18D8">
              <w:rPr>
                <w:noProof/>
                <w:webHidden/>
              </w:rPr>
              <w:instrText xml:space="preserve"> PAGEREF _Toc114677335 \h </w:instrText>
            </w:r>
            <w:r w:rsidR="005A18D8">
              <w:rPr>
                <w:noProof/>
                <w:webHidden/>
              </w:rPr>
            </w:r>
            <w:r w:rsidR="005A18D8">
              <w:rPr>
                <w:noProof/>
                <w:webHidden/>
              </w:rPr>
              <w:fldChar w:fldCharType="separate"/>
            </w:r>
            <w:r w:rsidR="005A18D8">
              <w:rPr>
                <w:noProof/>
                <w:webHidden/>
              </w:rPr>
              <w:t>15</w:t>
            </w:r>
            <w:r w:rsidR="005A18D8">
              <w:rPr>
                <w:noProof/>
                <w:webHidden/>
              </w:rPr>
              <w:fldChar w:fldCharType="end"/>
            </w:r>
          </w:hyperlink>
        </w:p>
        <w:p w14:paraId="61B8E4CD" w14:textId="750609D7" w:rsidR="005A18D8" w:rsidRDefault="00234257">
          <w:pPr>
            <w:pStyle w:val="TOC1"/>
            <w:tabs>
              <w:tab w:val="right" w:leader="dot" w:pos="9016"/>
            </w:tabs>
            <w:rPr>
              <w:rFonts w:eastAsiaTheme="minorEastAsia"/>
              <w:noProof/>
              <w:lang w:eastAsia="en-GB"/>
            </w:rPr>
          </w:pPr>
          <w:hyperlink w:anchor="_Toc114677336" w:history="1">
            <w:r w:rsidR="005A18D8" w:rsidRPr="00317290">
              <w:rPr>
                <w:rStyle w:val="Hyperlink"/>
                <w:b/>
                <w:bCs/>
                <w:noProof/>
              </w:rPr>
              <w:t>Supplementary Table S9.</w:t>
            </w:r>
            <w:r w:rsidR="005A18D8" w:rsidRPr="00317290">
              <w:rPr>
                <w:rStyle w:val="Hyperlink"/>
                <w:noProof/>
              </w:rPr>
              <w:t xml:space="preserve"> Single-group interrupted time series analysis of opioids in Scotland (without buprenorphine, buprenorphine and naloxone and methadone hydrochloride)</w:t>
            </w:r>
            <w:r w:rsidR="005A18D8">
              <w:rPr>
                <w:noProof/>
                <w:webHidden/>
              </w:rPr>
              <w:tab/>
            </w:r>
            <w:r w:rsidR="005A18D8">
              <w:rPr>
                <w:noProof/>
                <w:webHidden/>
              </w:rPr>
              <w:fldChar w:fldCharType="begin"/>
            </w:r>
            <w:r w:rsidR="005A18D8">
              <w:rPr>
                <w:noProof/>
                <w:webHidden/>
              </w:rPr>
              <w:instrText xml:space="preserve"> PAGEREF _Toc114677336 \h </w:instrText>
            </w:r>
            <w:r w:rsidR="005A18D8">
              <w:rPr>
                <w:noProof/>
                <w:webHidden/>
              </w:rPr>
            </w:r>
            <w:r w:rsidR="005A18D8">
              <w:rPr>
                <w:noProof/>
                <w:webHidden/>
              </w:rPr>
              <w:fldChar w:fldCharType="separate"/>
            </w:r>
            <w:r w:rsidR="005A18D8">
              <w:rPr>
                <w:noProof/>
                <w:webHidden/>
              </w:rPr>
              <w:t>16</w:t>
            </w:r>
            <w:r w:rsidR="005A18D8">
              <w:rPr>
                <w:noProof/>
                <w:webHidden/>
              </w:rPr>
              <w:fldChar w:fldCharType="end"/>
            </w:r>
          </w:hyperlink>
        </w:p>
        <w:p w14:paraId="0D2E7D2B" w14:textId="005D3D34" w:rsidR="005A18D8" w:rsidRDefault="00234257">
          <w:pPr>
            <w:pStyle w:val="TOC1"/>
            <w:tabs>
              <w:tab w:val="right" w:leader="dot" w:pos="9016"/>
            </w:tabs>
            <w:rPr>
              <w:rFonts w:eastAsiaTheme="minorEastAsia"/>
              <w:noProof/>
              <w:lang w:eastAsia="en-GB"/>
            </w:rPr>
          </w:pPr>
          <w:hyperlink w:anchor="_Toc114677337" w:history="1">
            <w:r w:rsidR="005A18D8" w:rsidRPr="00317290">
              <w:rPr>
                <w:rStyle w:val="Hyperlink"/>
                <w:b/>
                <w:bCs/>
                <w:noProof/>
              </w:rPr>
              <w:t>Supplementary Table S10.</w:t>
            </w:r>
            <w:r w:rsidR="005A18D8" w:rsidRPr="00317290">
              <w:rPr>
                <w:rStyle w:val="Hyperlink"/>
                <w:noProof/>
              </w:rPr>
              <w:t xml:space="preserve"> Results of the controlled interrupted time series analysis of opioid prescribing rates adjusted for gabapentinoid prescribing in Scotland (without buprenorphine, buprenorphine and naloxone and methadone hydrochloride)</w:t>
            </w:r>
            <w:r w:rsidR="005A18D8">
              <w:rPr>
                <w:noProof/>
                <w:webHidden/>
              </w:rPr>
              <w:tab/>
            </w:r>
            <w:r w:rsidR="005A18D8">
              <w:rPr>
                <w:noProof/>
                <w:webHidden/>
              </w:rPr>
              <w:fldChar w:fldCharType="begin"/>
            </w:r>
            <w:r w:rsidR="005A18D8">
              <w:rPr>
                <w:noProof/>
                <w:webHidden/>
              </w:rPr>
              <w:instrText xml:space="preserve"> PAGEREF _Toc114677337 \h </w:instrText>
            </w:r>
            <w:r w:rsidR="005A18D8">
              <w:rPr>
                <w:noProof/>
                <w:webHidden/>
              </w:rPr>
            </w:r>
            <w:r w:rsidR="005A18D8">
              <w:rPr>
                <w:noProof/>
                <w:webHidden/>
              </w:rPr>
              <w:fldChar w:fldCharType="separate"/>
            </w:r>
            <w:r w:rsidR="005A18D8">
              <w:rPr>
                <w:noProof/>
                <w:webHidden/>
              </w:rPr>
              <w:t>17</w:t>
            </w:r>
            <w:r w:rsidR="005A18D8">
              <w:rPr>
                <w:noProof/>
                <w:webHidden/>
              </w:rPr>
              <w:fldChar w:fldCharType="end"/>
            </w:r>
          </w:hyperlink>
        </w:p>
        <w:p w14:paraId="4B84954A" w14:textId="50C9F7F0" w:rsidR="005A18D8" w:rsidRDefault="00234257">
          <w:pPr>
            <w:pStyle w:val="TOC1"/>
            <w:tabs>
              <w:tab w:val="right" w:leader="dot" w:pos="9016"/>
            </w:tabs>
            <w:rPr>
              <w:rFonts w:eastAsiaTheme="minorEastAsia"/>
              <w:noProof/>
              <w:lang w:eastAsia="en-GB"/>
            </w:rPr>
          </w:pPr>
          <w:hyperlink w:anchor="_Toc114677338" w:history="1">
            <w:r w:rsidR="005A18D8" w:rsidRPr="00317290">
              <w:rPr>
                <w:rStyle w:val="Hyperlink"/>
                <w:b/>
                <w:bCs/>
                <w:noProof/>
              </w:rPr>
              <w:t>Supplementary Table S11.</w:t>
            </w:r>
            <w:r w:rsidR="005A18D8" w:rsidRPr="00317290">
              <w:rPr>
                <w:rStyle w:val="Hyperlink"/>
                <w:noProof/>
              </w:rPr>
              <w:t xml:space="preserve"> Results of the single interrupted time series analyses of female and male opioid prescribing rates in Scotland (without buprenorphine, buprenorphine and naloxone and methadone hydrochloride)</w:t>
            </w:r>
            <w:r w:rsidR="005A18D8">
              <w:rPr>
                <w:noProof/>
                <w:webHidden/>
              </w:rPr>
              <w:tab/>
            </w:r>
            <w:r w:rsidR="005A18D8">
              <w:rPr>
                <w:noProof/>
                <w:webHidden/>
              </w:rPr>
              <w:fldChar w:fldCharType="begin"/>
            </w:r>
            <w:r w:rsidR="005A18D8">
              <w:rPr>
                <w:noProof/>
                <w:webHidden/>
              </w:rPr>
              <w:instrText xml:space="preserve"> PAGEREF _Toc114677338 \h </w:instrText>
            </w:r>
            <w:r w:rsidR="005A18D8">
              <w:rPr>
                <w:noProof/>
                <w:webHidden/>
              </w:rPr>
            </w:r>
            <w:r w:rsidR="005A18D8">
              <w:rPr>
                <w:noProof/>
                <w:webHidden/>
              </w:rPr>
              <w:fldChar w:fldCharType="separate"/>
            </w:r>
            <w:r w:rsidR="005A18D8">
              <w:rPr>
                <w:noProof/>
                <w:webHidden/>
              </w:rPr>
              <w:t>18</w:t>
            </w:r>
            <w:r w:rsidR="005A18D8">
              <w:rPr>
                <w:noProof/>
                <w:webHidden/>
              </w:rPr>
              <w:fldChar w:fldCharType="end"/>
            </w:r>
          </w:hyperlink>
        </w:p>
        <w:p w14:paraId="38601A57" w14:textId="2C45BF56" w:rsidR="005A18D8" w:rsidRDefault="00234257">
          <w:pPr>
            <w:pStyle w:val="TOC1"/>
            <w:tabs>
              <w:tab w:val="right" w:leader="dot" w:pos="9016"/>
            </w:tabs>
            <w:rPr>
              <w:rFonts w:eastAsiaTheme="minorEastAsia"/>
              <w:noProof/>
              <w:lang w:eastAsia="en-GB"/>
            </w:rPr>
          </w:pPr>
          <w:hyperlink w:anchor="_Toc114677339" w:history="1">
            <w:r w:rsidR="005A18D8" w:rsidRPr="00317290">
              <w:rPr>
                <w:rStyle w:val="Hyperlink"/>
                <w:b/>
                <w:bCs/>
                <w:noProof/>
              </w:rPr>
              <w:t>Supplementary Table S12.</w:t>
            </w:r>
            <w:r w:rsidR="005A18D8" w:rsidRPr="00317290">
              <w:rPr>
                <w:rStyle w:val="Hyperlink"/>
                <w:noProof/>
              </w:rPr>
              <w:t xml:space="preserve"> Results of the controlled interrupted time series analysis of females compared to male opioid prescribing rates in Scotland (without buprenorphine, buprenorphine and naloxone and methadone hydrochloride)</w:t>
            </w:r>
            <w:r w:rsidR="005A18D8">
              <w:rPr>
                <w:noProof/>
                <w:webHidden/>
              </w:rPr>
              <w:tab/>
            </w:r>
            <w:r w:rsidR="005A18D8">
              <w:rPr>
                <w:noProof/>
                <w:webHidden/>
              </w:rPr>
              <w:fldChar w:fldCharType="begin"/>
            </w:r>
            <w:r w:rsidR="005A18D8">
              <w:rPr>
                <w:noProof/>
                <w:webHidden/>
              </w:rPr>
              <w:instrText xml:space="preserve"> PAGEREF _Toc114677339 \h </w:instrText>
            </w:r>
            <w:r w:rsidR="005A18D8">
              <w:rPr>
                <w:noProof/>
                <w:webHidden/>
              </w:rPr>
            </w:r>
            <w:r w:rsidR="005A18D8">
              <w:rPr>
                <w:noProof/>
                <w:webHidden/>
              </w:rPr>
              <w:fldChar w:fldCharType="separate"/>
            </w:r>
            <w:r w:rsidR="005A18D8">
              <w:rPr>
                <w:noProof/>
                <w:webHidden/>
              </w:rPr>
              <w:t>19</w:t>
            </w:r>
            <w:r w:rsidR="005A18D8">
              <w:rPr>
                <w:noProof/>
                <w:webHidden/>
              </w:rPr>
              <w:fldChar w:fldCharType="end"/>
            </w:r>
          </w:hyperlink>
        </w:p>
        <w:p w14:paraId="59DF4901" w14:textId="452CF9FC" w:rsidR="005A18D8" w:rsidRDefault="00234257">
          <w:pPr>
            <w:pStyle w:val="TOC1"/>
            <w:tabs>
              <w:tab w:val="right" w:leader="dot" w:pos="9016"/>
            </w:tabs>
            <w:rPr>
              <w:rFonts w:eastAsiaTheme="minorEastAsia"/>
              <w:noProof/>
              <w:lang w:eastAsia="en-GB"/>
            </w:rPr>
          </w:pPr>
          <w:hyperlink w:anchor="_Toc114677340" w:history="1">
            <w:r w:rsidR="005A18D8" w:rsidRPr="00317290">
              <w:rPr>
                <w:rStyle w:val="Hyperlink"/>
                <w:b/>
                <w:bCs/>
                <w:noProof/>
              </w:rPr>
              <w:t>Supplementary Table S13.</w:t>
            </w:r>
            <w:r w:rsidR="005A18D8" w:rsidRPr="00317290">
              <w:rPr>
                <w:rStyle w:val="Hyperlink"/>
                <w:noProof/>
              </w:rPr>
              <w:t xml:space="preserve"> Results of the single interrupted time series analyses of opioid prescribing rates by age category in Scotland (without buprenorphine, buprenorphine and naloxone and methadone hydrochloride)</w:t>
            </w:r>
            <w:r w:rsidR="005A18D8">
              <w:rPr>
                <w:noProof/>
                <w:webHidden/>
              </w:rPr>
              <w:tab/>
            </w:r>
            <w:r w:rsidR="005A18D8">
              <w:rPr>
                <w:noProof/>
                <w:webHidden/>
              </w:rPr>
              <w:fldChar w:fldCharType="begin"/>
            </w:r>
            <w:r w:rsidR="005A18D8">
              <w:rPr>
                <w:noProof/>
                <w:webHidden/>
              </w:rPr>
              <w:instrText xml:space="preserve"> PAGEREF _Toc114677340 \h </w:instrText>
            </w:r>
            <w:r w:rsidR="005A18D8">
              <w:rPr>
                <w:noProof/>
                <w:webHidden/>
              </w:rPr>
            </w:r>
            <w:r w:rsidR="005A18D8">
              <w:rPr>
                <w:noProof/>
                <w:webHidden/>
              </w:rPr>
              <w:fldChar w:fldCharType="separate"/>
            </w:r>
            <w:r w:rsidR="005A18D8">
              <w:rPr>
                <w:noProof/>
                <w:webHidden/>
              </w:rPr>
              <w:t>20</w:t>
            </w:r>
            <w:r w:rsidR="005A18D8">
              <w:rPr>
                <w:noProof/>
                <w:webHidden/>
              </w:rPr>
              <w:fldChar w:fldCharType="end"/>
            </w:r>
          </w:hyperlink>
        </w:p>
        <w:p w14:paraId="66009D8D" w14:textId="05525AE1" w:rsidR="005A18D8" w:rsidRDefault="00234257">
          <w:pPr>
            <w:pStyle w:val="TOC1"/>
            <w:tabs>
              <w:tab w:val="right" w:leader="dot" w:pos="9016"/>
            </w:tabs>
            <w:rPr>
              <w:rFonts w:eastAsiaTheme="minorEastAsia"/>
              <w:noProof/>
              <w:lang w:eastAsia="en-GB"/>
            </w:rPr>
          </w:pPr>
          <w:hyperlink w:anchor="_Toc114677341" w:history="1">
            <w:r w:rsidR="005A18D8" w:rsidRPr="00317290">
              <w:rPr>
                <w:rStyle w:val="Hyperlink"/>
                <w:b/>
                <w:bCs/>
                <w:noProof/>
              </w:rPr>
              <w:t>Supplementary Table S14.</w:t>
            </w:r>
            <w:r w:rsidR="005A18D8" w:rsidRPr="00317290">
              <w:rPr>
                <w:rStyle w:val="Hyperlink"/>
                <w:noProof/>
              </w:rPr>
              <w:t xml:space="preserve"> Results of the single interrupted time series analyses of strong</w:t>
            </w:r>
            <w:r w:rsidR="005A18D8" w:rsidRPr="00317290">
              <w:rPr>
                <w:rStyle w:val="Hyperlink"/>
                <w:noProof/>
                <w:vertAlign w:val="superscript"/>
              </w:rPr>
              <w:t>1</w:t>
            </w:r>
            <w:r w:rsidR="005A18D8" w:rsidRPr="00317290">
              <w:rPr>
                <w:rStyle w:val="Hyperlink"/>
                <w:noProof/>
              </w:rPr>
              <w:t xml:space="preserve"> opioid prescribing rates in Scotland (without buprenorphine, buprenorphine and naloxone and methadone hydrochloride)</w:t>
            </w:r>
            <w:r w:rsidR="005A18D8">
              <w:rPr>
                <w:noProof/>
                <w:webHidden/>
              </w:rPr>
              <w:tab/>
            </w:r>
            <w:r w:rsidR="005A18D8">
              <w:rPr>
                <w:noProof/>
                <w:webHidden/>
              </w:rPr>
              <w:fldChar w:fldCharType="begin"/>
            </w:r>
            <w:r w:rsidR="005A18D8">
              <w:rPr>
                <w:noProof/>
                <w:webHidden/>
              </w:rPr>
              <w:instrText xml:space="preserve"> PAGEREF _Toc114677341 \h </w:instrText>
            </w:r>
            <w:r w:rsidR="005A18D8">
              <w:rPr>
                <w:noProof/>
                <w:webHidden/>
              </w:rPr>
            </w:r>
            <w:r w:rsidR="005A18D8">
              <w:rPr>
                <w:noProof/>
                <w:webHidden/>
              </w:rPr>
              <w:fldChar w:fldCharType="separate"/>
            </w:r>
            <w:r w:rsidR="005A18D8">
              <w:rPr>
                <w:noProof/>
                <w:webHidden/>
              </w:rPr>
              <w:t>21</w:t>
            </w:r>
            <w:r w:rsidR="005A18D8">
              <w:rPr>
                <w:noProof/>
                <w:webHidden/>
              </w:rPr>
              <w:fldChar w:fldCharType="end"/>
            </w:r>
          </w:hyperlink>
        </w:p>
        <w:p w14:paraId="40A92388" w14:textId="4394C626" w:rsidR="005A18D8" w:rsidRDefault="00234257">
          <w:pPr>
            <w:pStyle w:val="TOC1"/>
            <w:tabs>
              <w:tab w:val="right" w:leader="dot" w:pos="9016"/>
            </w:tabs>
            <w:rPr>
              <w:rFonts w:eastAsiaTheme="minorEastAsia"/>
              <w:noProof/>
              <w:lang w:eastAsia="en-GB"/>
            </w:rPr>
          </w:pPr>
          <w:hyperlink w:anchor="_Toc114677342" w:history="1">
            <w:r w:rsidR="005A18D8" w:rsidRPr="00317290">
              <w:rPr>
                <w:rStyle w:val="Hyperlink"/>
                <w:b/>
                <w:bCs/>
                <w:noProof/>
              </w:rPr>
              <w:t>Supplementary Table S15.</w:t>
            </w:r>
            <w:r w:rsidR="005A18D8" w:rsidRPr="00317290">
              <w:rPr>
                <w:rStyle w:val="Hyperlink"/>
                <w:noProof/>
              </w:rPr>
              <w:t xml:space="preserve"> Results of the controlled interrupted time series analysis of weak</w:t>
            </w:r>
            <w:r w:rsidR="005A18D8" w:rsidRPr="00317290">
              <w:rPr>
                <w:rStyle w:val="Hyperlink"/>
                <w:noProof/>
                <w:vertAlign w:val="superscript"/>
              </w:rPr>
              <w:t>1</w:t>
            </w:r>
            <w:r w:rsidR="005A18D8" w:rsidRPr="00317290">
              <w:rPr>
                <w:rStyle w:val="Hyperlink"/>
                <w:noProof/>
              </w:rPr>
              <w:t xml:space="preserve"> compared to strong opioid</w:t>
            </w:r>
            <w:r w:rsidR="005A18D8" w:rsidRPr="00317290">
              <w:rPr>
                <w:rStyle w:val="Hyperlink"/>
                <w:noProof/>
                <w:vertAlign w:val="superscript"/>
              </w:rPr>
              <w:t>2</w:t>
            </w:r>
            <w:r w:rsidR="005A18D8" w:rsidRPr="00317290">
              <w:rPr>
                <w:rStyle w:val="Hyperlink"/>
                <w:noProof/>
              </w:rPr>
              <w:t xml:space="preserve"> prescribing rates in Scotland (without buprenorphine, buprenorphine and naloxone and methadone hydrochloride)</w:t>
            </w:r>
            <w:r w:rsidR="005A18D8">
              <w:rPr>
                <w:noProof/>
                <w:webHidden/>
              </w:rPr>
              <w:tab/>
            </w:r>
            <w:r w:rsidR="005A18D8">
              <w:rPr>
                <w:noProof/>
                <w:webHidden/>
              </w:rPr>
              <w:fldChar w:fldCharType="begin"/>
            </w:r>
            <w:r w:rsidR="005A18D8">
              <w:rPr>
                <w:noProof/>
                <w:webHidden/>
              </w:rPr>
              <w:instrText xml:space="preserve"> PAGEREF _Toc114677342 \h </w:instrText>
            </w:r>
            <w:r w:rsidR="005A18D8">
              <w:rPr>
                <w:noProof/>
                <w:webHidden/>
              </w:rPr>
            </w:r>
            <w:r w:rsidR="005A18D8">
              <w:rPr>
                <w:noProof/>
                <w:webHidden/>
              </w:rPr>
              <w:fldChar w:fldCharType="separate"/>
            </w:r>
            <w:r w:rsidR="005A18D8">
              <w:rPr>
                <w:noProof/>
                <w:webHidden/>
              </w:rPr>
              <w:t>22</w:t>
            </w:r>
            <w:r w:rsidR="005A18D8">
              <w:rPr>
                <w:noProof/>
                <w:webHidden/>
              </w:rPr>
              <w:fldChar w:fldCharType="end"/>
            </w:r>
          </w:hyperlink>
        </w:p>
        <w:p w14:paraId="33C4F52B" w14:textId="75E0C910" w:rsidR="005A18D8" w:rsidRDefault="00234257">
          <w:pPr>
            <w:pStyle w:val="TOC1"/>
            <w:tabs>
              <w:tab w:val="right" w:leader="dot" w:pos="9016"/>
            </w:tabs>
            <w:rPr>
              <w:rFonts w:eastAsiaTheme="minorEastAsia"/>
              <w:noProof/>
              <w:lang w:eastAsia="en-GB"/>
            </w:rPr>
          </w:pPr>
          <w:hyperlink w:anchor="_Toc114677343" w:history="1">
            <w:r w:rsidR="005A18D8" w:rsidRPr="00317290">
              <w:rPr>
                <w:rStyle w:val="Hyperlink"/>
                <w:b/>
                <w:bCs/>
                <w:noProof/>
              </w:rPr>
              <w:t>Supplementary Figure S1.</w:t>
            </w:r>
            <w:r w:rsidR="005A18D8" w:rsidRPr="00317290">
              <w:rPr>
                <w:rStyle w:val="Hyperlink"/>
                <w:noProof/>
              </w:rPr>
              <w:t xml:space="preserve"> Opioid prescribing time series across Scotland by gender, before and after the publication of SIGN 136 in December 2013 (red dashed line). The solid lines represent the prescribing trend derived from the interrupted time series analysis.</w:t>
            </w:r>
            <w:r w:rsidR="005A18D8">
              <w:rPr>
                <w:noProof/>
                <w:webHidden/>
              </w:rPr>
              <w:tab/>
            </w:r>
            <w:r w:rsidR="005A18D8">
              <w:rPr>
                <w:noProof/>
                <w:webHidden/>
              </w:rPr>
              <w:fldChar w:fldCharType="begin"/>
            </w:r>
            <w:r w:rsidR="005A18D8">
              <w:rPr>
                <w:noProof/>
                <w:webHidden/>
              </w:rPr>
              <w:instrText xml:space="preserve"> PAGEREF _Toc114677343 \h </w:instrText>
            </w:r>
            <w:r w:rsidR="005A18D8">
              <w:rPr>
                <w:noProof/>
                <w:webHidden/>
              </w:rPr>
            </w:r>
            <w:r w:rsidR="005A18D8">
              <w:rPr>
                <w:noProof/>
                <w:webHidden/>
              </w:rPr>
              <w:fldChar w:fldCharType="separate"/>
            </w:r>
            <w:r w:rsidR="005A18D8">
              <w:rPr>
                <w:noProof/>
                <w:webHidden/>
              </w:rPr>
              <w:t>23</w:t>
            </w:r>
            <w:r w:rsidR="005A18D8">
              <w:rPr>
                <w:noProof/>
                <w:webHidden/>
              </w:rPr>
              <w:fldChar w:fldCharType="end"/>
            </w:r>
          </w:hyperlink>
        </w:p>
        <w:p w14:paraId="25FE4784" w14:textId="04B12549" w:rsidR="005A18D8" w:rsidRDefault="00234257">
          <w:pPr>
            <w:pStyle w:val="TOC1"/>
            <w:tabs>
              <w:tab w:val="right" w:leader="dot" w:pos="9016"/>
            </w:tabs>
            <w:rPr>
              <w:rFonts w:eastAsiaTheme="minorEastAsia"/>
              <w:noProof/>
              <w:lang w:eastAsia="en-GB"/>
            </w:rPr>
          </w:pPr>
          <w:hyperlink w:anchor="_Toc114677344" w:history="1">
            <w:r w:rsidR="005A18D8" w:rsidRPr="00317290">
              <w:rPr>
                <w:rStyle w:val="Hyperlink"/>
                <w:b/>
                <w:bCs/>
                <w:noProof/>
              </w:rPr>
              <w:t>Supplementary Figure S2.</w:t>
            </w:r>
            <w:r w:rsidR="005A18D8" w:rsidRPr="00317290">
              <w:rPr>
                <w:rStyle w:val="Hyperlink"/>
                <w:noProof/>
              </w:rPr>
              <w:t xml:space="preserve"> Opioid prescribing time series across Scotland by age, before and after the publication of SIGN 136 in December 2013 (red dashed line). The solid lines represent the prescribing trend derived from the interrupted time series analysis.</w:t>
            </w:r>
            <w:r w:rsidR="005A18D8">
              <w:rPr>
                <w:noProof/>
                <w:webHidden/>
              </w:rPr>
              <w:tab/>
            </w:r>
            <w:r w:rsidR="005A18D8">
              <w:rPr>
                <w:noProof/>
                <w:webHidden/>
              </w:rPr>
              <w:fldChar w:fldCharType="begin"/>
            </w:r>
            <w:r w:rsidR="005A18D8">
              <w:rPr>
                <w:noProof/>
                <w:webHidden/>
              </w:rPr>
              <w:instrText xml:space="preserve"> PAGEREF _Toc114677344 \h </w:instrText>
            </w:r>
            <w:r w:rsidR="005A18D8">
              <w:rPr>
                <w:noProof/>
                <w:webHidden/>
              </w:rPr>
            </w:r>
            <w:r w:rsidR="005A18D8">
              <w:rPr>
                <w:noProof/>
                <w:webHidden/>
              </w:rPr>
              <w:fldChar w:fldCharType="separate"/>
            </w:r>
            <w:r w:rsidR="005A18D8">
              <w:rPr>
                <w:noProof/>
                <w:webHidden/>
              </w:rPr>
              <w:t>24</w:t>
            </w:r>
            <w:r w:rsidR="005A18D8">
              <w:rPr>
                <w:noProof/>
                <w:webHidden/>
              </w:rPr>
              <w:fldChar w:fldCharType="end"/>
            </w:r>
          </w:hyperlink>
        </w:p>
        <w:p w14:paraId="270A6514" w14:textId="6FCC60A3" w:rsidR="005A18D8" w:rsidRDefault="00234257">
          <w:pPr>
            <w:pStyle w:val="TOC1"/>
            <w:tabs>
              <w:tab w:val="right" w:leader="dot" w:pos="9016"/>
            </w:tabs>
            <w:rPr>
              <w:rFonts w:eastAsiaTheme="minorEastAsia"/>
              <w:noProof/>
              <w:lang w:eastAsia="en-GB"/>
            </w:rPr>
          </w:pPr>
          <w:hyperlink w:anchor="_Toc114677345" w:history="1">
            <w:r w:rsidR="005A18D8" w:rsidRPr="00317290">
              <w:rPr>
                <w:rStyle w:val="Hyperlink"/>
                <w:b/>
                <w:bCs/>
                <w:noProof/>
              </w:rPr>
              <w:t>Supplementary Figure S3</w:t>
            </w:r>
            <w:r w:rsidR="005A18D8" w:rsidRPr="00317290">
              <w:rPr>
                <w:rStyle w:val="Hyperlink"/>
                <w:noProof/>
              </w:rPr>
              <w:t>. Opioid and gabapentinoid prescribing time series in Scotland (without opioid replacement therapies)* before and after the publication of SIGN 136 in December 2013 (red dashed line). The solid lines represent the prescribing trend derived from the interrupted time series analysis.</w:t>
            </w:r>
            <w:r w:rsidR="005A18D8">
              <w:rPr>
                <w:noProof/>
                <w:webHidden/>
              </w:rPr>
              <w:tab/>
            </w:r>
            <w:r w:rsidR="005A18D8">
              <w:rPr>
                <w:noProof/>
                <w:webHidden/>
              </w:rPr>
              <w:fldChar w:fldCharType="begin"/>
            </w:r>
            <w:r w:rsidR="005A18D8">
              <w:rPr>
                <w:noProof/>
                <w:webHidden/>
              </w:rPr>
              <w:instrText xml:space="preserve"> PAGEREF _Toc114677345 \h </w:instrText>
            </w:r>
            <w:r w:rsidR="005A18D8">
              <w:rPr>
                <w:noProof/>
                <w:webHidden/>
              </w:rPr>
            </w:r>
            <w:r w:rsidR="005A18D8">
              <w:rPr>
                <w:noProof/>
                <w:webHidden/>
              </w:rPr>
              <w:fldChar w:fldCharType="separate"/>
            </w:r>
            <w:r w:rsidR="005A18D8">
              <w:rPr>
                <w:noProof/>
                <w:webHidden/>
              </w:rPr>
              <w:t>25</w:t>
            </w:r>
            <w:r w:rsidR="005A18D8">
              <w:rPr>
                <w:noProof/>
                <w:webHidden/>
              </w:rPr>
              <w:fldChar w:fldCharType="end"/>
            </w:r>
          </w:hyperlink>
        </w:p>
        <w:p w14:paraId="54D466BD" w14:textId="3B1AE381" w:rsidR="005A18D8" w:rsidRDefault="00234257">
          <w:pPr>
            <w:pStyle w:val="TOC1"/>
            <w:tabs>
              <w:tab w:val="right" w:leader="dot" w:pos="9016"/>
            </w:tabs>
            <w:rPr>
              <w:rFonts w:eastAsiaTheme="minorEastAsia"/>
              <w:noProof/>
              <w:lang w:eastAsia="en-GB"/>
            </w:rPr>
          </w:pPr>
          <w:hyperlink w:anchor="_Toc114677346" w:history="1">
            <w:r w:rsidR="005A18D8" w:rsidRPr="00317290">
              <w:rPr>
                <w:rStyle w:val="Hyperlink"/>
                <w:b/>
                <w:bCs/>
                <w:noProof/>
              </w:rPr>
              <w:t>Supplementary Figure S4</w:t>
            </w:r>
            <w:r w:rsidR="005A18D8" w:rsidRPr="00317290">
              <w:rPr>
                <w:rStyle w:val="Hyperlink"/>
                <w:noProof/>
              </w:rPr>
              <w:t>. Prescribing time series of weak</w:t>
            </w:r>
            <w:r w:rsidR="005A18D8" w:rsidRPr="00317290">
              <w:rPr>
                <w:rStyle w:val="Hyperlink"/>
                <w:noProof/>
                <w:vertAlign w:val="superscript"/>
              </w:rPr>
              <w:t>1</w:t>
            </w:r>
            <w:r w:rsidR="005A18D8" w:rsidRPr="00317290">
              <w:rPr>
                <w:rStyle w:val="Hyperlink"/>
                <w:noProof/>
              </w:rPr>
              <w:t xml:space="preserve"> and strong</w:t>
            </w:r>
            <w:r w:rsidR="005A18D8" w:rsidRPr="00317290">
              <w:rPr>
                <w:rStyle w:val="Hyperlink"/>
                <w:noProof/>
                <w:vertAlign w:val="superscript"/>
              </w:rPr>
              <w:t>2</w:t>
            </w:r>
            <w:r w:rsidR="005A18D8" w:rsidRPr="00317290">
              <w:rPr>
                <w:rStyle w:val="Hyperlink"/>
                <w:noProof/>
              </w:rPr>
              <w:t xml:space="preserve"> opioids in Scotland (without opioid replacement therapies)*, before and after the publication of SIGN 136 in December 2013 (red dashed line). The solid lines represent the prescribing trend derived from the interrupted time series analysis.</w:t>
            </w:r>
            <w:r w:rsidR="005A18D8">
              <w:rPr>
                <w:noProof/>
                <w:webHidden/>
              </w:rPr>
              <w:tab/>
            </w:r>
            <w:r w:rsidR="005A18D8">
              <w:rPr>
                <w:noProof/>
                <w:webHidden/>
              </w:rPr>
              <w:fldChar w:fldCharType="begin"/>
            </w:r>
            <w:r w:rsidR="005A18D8">
              <w:rPr>
                <w:noProof/>
                <w:webHidden/>
              </w:rPr>
              <w:instrText xml:space="preserve"> PAGEREF _Toc114677346 \h </w:instrText>
            </w:r>
            <w:r w:rsidR="005A18D8">
              <w:rPr>
                <w:noProof/>
                <w:webHidden/>
              </w:rPr>
            </w:r>
            <w:r w:rsidR="005A18D8">
              <w:rPr>
                <w:noProof/>
                <w:webHidden/>
              </w:rPr>
              <w:fldChar w:fldCharType="separate"/>
            </w:r>
            <w:r w:rsidR="005A18D8">
              <w:rPr>
                <w:noProof/>
                <w:webHidden/>
              </w:rPr>
              <w:t>26</w:t>
            </w:r>
            <w:r w:rsidR="005A18D8">
              <w:rPr>
                <w:noProof/>
                <w:webHidden/>
              </w:rPr>
              <w:fldChar w:fldCharType="end"/>
            </w:r>
          </w:hyperlink>
        </w:p>
        <w:p w14:paraId="73763C85" w14:textId="0EEF6CD6" w:rsidR="005A18D8" w:rsidRDefault="00234257">
          <w:pPr>
            <w:pStyle w:val="TOC1"/>
            <w:tabs>
              <w:tab w:val="right" w:leader="dot" w:pos="9016"/>
            </w:tabs>
            <w:rPr>
              <w:rFonts w:eastAsiaTheme="minorEastAsia"/>
              <w:noProof/>
              <w:lang w:eastAsia="en-GB"/>
            </w:rPr>
          </w:pPr>
          <w:hyperlink w:anchor="_Toc114677347" w:history="1">
            <w:r w:rsidR="005A18D8" w:rsidRPr="00317290">
              <w:rPr>
                <w:rStyle w:val="Hyperlink"/>
                <w:b/>
                <w:bCs/>
                <w:noProof/>
              </w:rPr>
              <w:t>Supplementary Figure S5.</w:t>
            </w:r>
            <w:r w:rsidR="005A18D8" w:rsidRPr="00317290">
              <w:rPr>
                <w:rStyle w:val="Hyperlink"/>
                <w:noProof/>
              </w:rPr>
              <w:t xml:space="preserve"> Opioid prescribing time series across Scotland by gender (without opioid replacement therapies)*, before and after the publication of SIGN 136 in December 2013 (red dashed line). The solid lines represent the prescribing trend derived from the interrupted time series analysis.</w:t>
            </w:r>
            <w:r w:rsidR="005A18D8">
              <w:rPr>
                <w:noProof/>
                <w:webHidden/>
              </w:rPr>
              <w:tab/>
            </w:r>
            <w:r w:rsidR="005A18D8">
              <w:rPr>
                <w:noProof/>
                <w:webHidden/>
              </w:rPr>
              <w:fldChar w:fldCharType="begin"/>
            </w:r>
            <w:r w:rsidR="005A18D8">
              <w:rPr>
                <w:noProof/>
                <w:webHidden/>
              </w:rPr>
              <w:instrText xml:space="preserve"> PAGEREF _Toc114677347 \h </w:instrText>
            </w:r>
            <w:r w:rsidR="005A18D8">
              <w:rPr>
                <w:noProof/>
                <w:webHidden/>
              </w:rPr>
            </w:r>
            <w:r w:rsidR="005A18D8">
              <w:rPr>
                <w:noProof/>
                <w:webHidden/>
              </w:rPr>
              <w:fldChar w:fldCharType="separate"/>
            </w:r>
            <w:r w:rsidR="005A18D8">
              <w:rPr>
                <w:noProof/>
                <w:webHidden/>
              </w:rPr>
              <w:t>27</w:t>
            </w:r>
            <w:r w:rsidR="005A18D8">
              <w:rPr>
                <w:noProof/>
                <w:webHidden/>
              </w:rPr>
              <w:fldChar w:fldCharType="end"/>
            </w:r>
          </w:hyperlink>
        </w:p>
        <w:p w14:paraId="19FCAEAF" w14:textId="3D90BE39" w:rsidR="005A18D8" w:rsidRDefault="00234257">
          <w:pPr>
            <w:pStyle w:val="TOC1"/>
            <w:tabs>
              <w:tab w:val="right" w:leader="dot" w:pos="9016"/>
            </w:tabs>
            <w:rPr>
              <w:rFonts w:eastAsiaTheme="minorEastAsia"/>
              <w:noProof/>
              <w:lang w:eastAsia="en-GB"/>
            </w:rPr>
          </w:pPr>
          <w:hyperlink w:anchor="_Toc114677348" w:history="1">
            <w:r w:rsidR="005A18D8" w:rsidRPr="00317290">
              <w:rPr>
                <w:rStyle w:val="Hyperlink"/>
                <w:b/>
                <w:bCs/>
                <w:noProof/>
              </w:rPr>
              <w:t>Supplementary Figure S6.</w:t>
            </w:r>
            <w:r w:rsidR="005A18D8" w:rsidRPr="00317290">
              <w:rPr>
                <w:rStyle w:val="Hyperlink"/>
                <w:noProof/>
              </w:rPr>
              <w:t xml:space="preserve"> Opioid prescribing time series across Scotland by age (without opioid replacement therapies)*, before and after the publication of SIGN 136 in December 2013 (red dashed line). The solid lines represent the prescribing trend derived from the interrupted time series analysis.</w:t>
            </w:r>
            <w:r w:rsidR="005A18D8">
              <w:rPr>
                <w:noProof/>
                <w:webHidden/>
              </w:rPr>
              <w:tab/>
            </w:r>
            <w:r w:rsidR="005A18D8">
              <w:rPr>
                <w:noProof/>
                <w:webHidden/>
              </w:rPr>
              <w:fldChar w:fldCharType="begin"/>
            </w:r>
            <w:r w:rsidR="005A18D8">
              <w:rPr>
                <w:noProof/>
                <w:webHidden/>
              </w:rPr>
              <w:instrText xml:space="preserve"> PAGEREF _Toc114677348 \h </w:instrText>
            </w:r>
            <w:r w:rsidR="005A18D8">
              <w:rPr>
                <w:noProof/>
                <w:webHidden/>
              </w:rPr>
            </w:r>
            <w:r w:rsidR="005A18D8">
              <w:rPr>
                <w:noProof/>
                <w:webHidden/>
              </w:rPr>
              <w:fldChar w:fldCharType="separate"/>
            </w:r>
            <w:r w:rsidR="005A18D8">
              <w:rPr>
                <w:noProof/>
                <w:webHidden/>
              </w:rPr>
              <w:t>28</w:t>
            </w:r>
            <w:r w:rsidR="005A18D8">
              <w:rPr>
                <w:noProof/>
                <w:webHidden/>
              </w:rPr>
              <w:fldChar w:fldCharType="end"/>
            </w:r>
          </w:hyperlink>
        </w:p>
        <w:p w14:paraId="56A4A034" w14:textId="74DE66A6" w:rsidR="005A18D8" w:rsidRDefault="005A18D8">
          <w:r>
            <w:rPr>
              <w:b/>
              <w:bCs/>
              <w:noProof/>
            </w:rPr>
            <w:fldChar w:fldCharType="end"/>
          </w:r>
        </w:p>
      </w:sdtContent>
    </w:sdt>
    <w:p w14:paraId="3DB43520" w14:textId="77777777" w:rsidR="00DB11DF" w:rsidRDefault="00DB11DF" w:rsidP="00DB11DF">
      <w:pPr>
        <w:pStyle w:val="Heading1"/>
        <w:jc w:val="left"/>
        <w:rPr>
          <w:bCs/>
          <w:szCs w:val="24"/>
        </w:rPr>
        <w:sectPr w:rsidR="00DB11DF">
          <w:pgSz w:w="11906" w:h="16838"/>
          <w:pgMar w:top="1440" w:right="1440" w:bottom="1440" w:left="1440" w:header="708" w:footer="708" w:gutter="0"/>
          <w:cols w:space="708"/>
          <w:docGrid w:linePitch="360"/>
        </w:sectPr>
      </w:pPr>
    </w:p>
    <w:p w14:paraId="51246A41" w14:textId="19DDEC3E" w:rsidR="00A65B0F" w:rsidRDefault="008A437F" w:rsidP="00A65B0F">
      <w:pPr>
        <w:pStyle w:val="Heading1"/>
        <w:jc w:val="left"/>
      </w:pPr>
      <w:bookmarkStart w:id="2" w:name="_Toc114677326"/>
      <w:r w:rsidRPr="00B80F68">
        <w:rPr>
          <w:b/>
          <w:szCs w:val="24"/>
        </w:rPr>
        <w:lastRenderedPageBreak/>
        <w:t xml:space="preserve">Supplementary </w:t>
      </w:r>
      <w:r>
        <w:rPr>
          <w:b/>
          <w:szCs w:val="24"/>
        </w:rPr>
        <w:t>Box</w:t>
      </w:r>
      <w:r w:rsidRPr="00B80F68">
        <w:rPr>
          <w:b/>
          <w:szCs w:val="24"/>
        </w:rPr>
        <w:t xml:space="preserve"> S1.</w:t>
      </w:r>
      <w:r w:rsidR="00A65B0F">
        <w:rPr>
          <w:b/>
          <w:szCs w:val="24"/>
        </w:rPr>
        <w:t xml:space="preserve"> </w:t>
      </w:r>
      <w:r w:rsidR="00A65B0F" w:rsidRPr="00A65B0F">
        <w:t>Summary</w:t>
      </w:r>
      <w:r w:rsidR="00A65B0F" w:rsidRPr="00BC410E">
        <w:t xml:space="preserve"> of the original SIGN 136 guideline (2013 edition) intervention for use of opioids in the management of adults with chronic non-malignant pain in non-specialist settings</w:t>
      </w:r>
      <w:bookmarkEnd w:id="2"/>
    </w:p>
    <w:p w14:paraId="71BCC7A2" w14:textId="77777777" w:rsidR="00A65B0F" w:rsidRPr="00A65B0F" w:rsidRDefault="00A65B0F" w:rsidP="00A65B0F"/>
    <w:tbl>
      <w:tblPr>
        <w:tblStyle w:val="TableGrid"/>
        <w:tblW w:w="0" w:type="auto"/>
        <w:tblLook w:val="04A0" w:firstRow="1" w:lastRow="0" w:firstColumn="1" w:lastColumn="0" w:noHBand="0" w:noVBand="1"/>
      </w:tblPr>
      <w:tblGrid>
        <w:gridCol w:w="9016"/>
      </w:tblGrid>
      <w:tr w:rsidR="00A65B0F" w14:paraId="091271ED" w14:textId="77777777" w:rsidTr="00F52023">
        <w:trPr>
          <w:trHeight w:val="7937"/>
        </w:trPr>
        <w:tc>
          <w:tcPr>
            <w:tcW w:w="9016" w:type="dxa"/>
          </w:tcPr>
          <w:p w14:paraId="7D0D2EE1" w14:textId="77777777" w:rsidR="00A65B0F" w:rsidRPr="00A65B0F" w:rsidRDefault="00A65B0F" w:rsidP="00C41A3E">
            <w:pPr>
              <w:pStyle w:val="ListParagraph"/>
              <w:ind w:left="360"/>
              <w:rPr>
                <w:szCs w:val="24"/>
              </w:rPr>
            </w:pPr>
            <w:bookmarkStart w:id="3" w:name="_Hlk80208315"/>
            <w:r w:rsidRPr="00A65B0F">
              <w:rPr>
                <w:b/>
                <w:szCs w:val="24"/>
              </w:rPr>
              <w:t xml:space="preserve">Key recommendation(s) </w:t>
            </w:r>
            <w:r w:rsidRPr="00A65B0F">
              <w:rPr>
                <w:szCs w:val="24"/>
              </w:rPr>
              <w:t>(based on evidence)</w:t>
            </w:r>
          </w:p>
          <w:p w14:paraId="7DCC63D2" w14:textId="77777777" w:rsidR="00A65B0F" w:rsidRPr="00A65B0F" w:rsidRDefault="00A65B0F" w:rsidP="00A65B0F">
            <w:pPr>
              <w:pStyle w:val="ListParagraph"/>
              <w:numPr>
                <w:ilvl w:val="0"/>
                <w:numId w:val="4"/>
              </w:numPr>
              <w:rPr>
                <w:szCs w:val="24"/>
              </w:rPr>
            </w:pPr>
            <w:r w:rsidRPr="00A65B0F">
              <w:rPr>
                <w:szCs w:val="24"/>
              </w:rPr>
              <w:t xml:space="preserve">Strong opioids should be considered as an option for pain relief for patients with chronic low back pain or osteoarthritis, and only continued if there is ongoing pain relief. Regular review is required. </w:t>
            </w:r>
          </w:p>
          <w:p w14:paraId="251E79AF" w14:textId="77777777" w:rsidR="00A65B0F" w:rsidRPr="00A65B0F" w:rsidRDefault="00A65B0F" w:rsidP="00C41A3E">
            <w:pPr>
              <w:rPr>
                <w:szCs w:val="24"/>
              </w:rPr>
            </w:pPr>
          </w:p>
          <w:p w14:paraId="1D2EF4EF" w14:textId="77777777" w:rsidR="00A65B0F" w:rsidRPr="00A65B0F" w:rsidRDefault="00A65B0F" w:rsidP="00C41A3E">
            <w:pPr>
              <w:ind w:left="360"/>
              <w:rPr>
                <w:b/>
                <w:szCs w:val="24"/>
              </w:rPr>
            </w:pPr>
            <w:r w:rsidRPr="00A65B0F">
              <w:rPr>
                <w:b/>
                <w:szCs w:val="24"/>
              </w:rPr>
              <w:t xml:space="preserve">Other recommendation(s) </w:t>
            </w:r>
            <w:r w:rsidRPr="00A65B0F">
              <w:rPr>
                <w:szCs w:val="24"/>
              </w:rPr>
              <w:t>(based on evidence)</w:t>
            </w:r>
          </w:p>
          <w:p w14:paraId="2D773DCE" w14:textId="77777777" w:rsidR="00A65B0F" w:rsidRPr="00A65B0F" w:rsidRDefault="00A65B0F" w:rsidP="00A65B0F">
            <w:pPr>
              <w:pStyle w:val="ListParagraph"/>
              <w:numPr>
                <w:ilvl w:val="0"/>
                <w:numId w:val="4"/>
              </w:numPr>
              <w:rPr>
                <w:szCs w:val="24"/>
              </w:rPr>
            </w:pPr>
            <w:r w:rsidRPr="00A65B0F">
              <w:rPr>
                <w:szCs w:val="24"/>
              </w:rPr>
              <w:t xml:space="preserve">Patients prescribed opioids should be advised of the likelihood of common side effects such as nausea and constipation. </w:t>
            </w:r>
          </w:p>
          <w:p w14:paraId="528ADE87" w14:textId="77777777" w:rsidR="00A65B0F" w:rsidRPr="00A65B0F" w:rsidRDefault="00A65B0F" w:rsidP="00A65B0F">
            <w:pPr>
              <w:pStyle w:val="ListParagraph"/>
              <w:numPr>
                <w:ilvl w:val="0"/>
                <w:numId w:val="4"/>
              </w:numPr>
              <w:rPr>
                <w:szCs w:val="24"/>
              </w:rPr>
            </w:pPr>
            <w:r w:rsidRPr="00A65B0F">
              <w:rPr>
                <w:szCs w:val="24"/>
              </w:rPr>
              <w:t>It may be necessary to trial more than one opioid sequentially, as both effectiveness and side effects vary between opioids.</w:t>
            </w:r>
            <w:r w:rsidRPr="00A65B0F">
              <w:rPr>
                <w:i/>
                <w:szCs w:val="24"/>
              </w:rPr>
              <w:t xml:space="preserve"> </w:t>
            </w:r>
          </w:p>
          <w:p w14:paraId="3487C0F4" w14:textId="77777777" w:rsidR="00A65B0F" w:rsidRPr="00A65B0F" w:rsidRDefault="00A65B0F" w:rsidP="00A65B0F">
            <w:pPr>
              <w:pStyle w:val="ListParagraph"/>
              <w:numPr>
                <w:ilvl w:val="0"/>
                <w:numId w:val="4"/>
              </w:numPr>
              <w:rPr>
                <w:szCs w:val="24"/>
              </w:rPr>
            </w:pPr>
            <w:r w:rsidRPr="00A65B0F">
              <w:rPr>
                <w:szCs w:val="24"/>
              </w:rPr>
              <w:t xml:space="preserve">Signs of abuse and addiction should be sought at re-assessment of patients using strong opioids. Routine urine drug testing, pill </w:t>
            </w:r>
            <w:proofErr w:type="gramStart"/>
            <w:r w:rsidRPr="00A65B0F">
              <w:rPr>
                <w:szCs w:val="24"/>
              </w:rPr>
              <w:t>counts</w:t>
            </w:r>
            <w:proofErr w:type="gramEnd"/>
            <w:r w:rsidRPr="00A65B0F">
              <w:rPr>
                <w:szCs w:val="24"/>
              </w:rPr>
              <w:t xml:space="preserve"> or prescription monitoring should not be used to detect problem use. </w:t>
            </w:r>
          </w:p>
          <w:p w14:paraId="5702174C" w14:textId="77777777" w:rsidR="00A65B0F" w:rsidRPr="00A65B0F" w:rsidRDefault="00A65B0F" w:rsidP="00A65B0F">
            <w:pPr>
              <w:pStyle w:val="ListParagraph"/>
              <w:numPr>
                <w:ilvl w:val="0"/>
                <w:numId w:val="4"/>
              </w:numPr>
              <w:rPr>
                <w:szCs w:val="24"/>
              </w:rPr>
            </w:pPr>
            <w:r w:rsidRPr="00A65B0F">
              <w:rPr>
                <w:szCs w:val="24"/>
              </w:rPr>
              <w:t xml:space="preserve">Currently available screening tools should not be relied upon to obtain an accurate prediction of patients at risk of developing problem opioid use before commencing treatment. </w:t>
            </w:r>
          </w:p>
          <w:p w14:paraId="0644A377" w14:textId="77777777" w:rsidR="00A65B0F" w:rsidRPr="00A65B0F" w:rsidRDefault="00A65B0F" w:rsidP="00A65B0F">
            <w:pPr>
              <w:pStyle w:val="ListParagraph"/>
              <w:numPr>
                <w:ilvl w:val="0"/>
                <w:numId w:val="4"/>
              </w:numPr>
              <w:rPr>
                <w:szCs w:val="24"/>
              </w:rPr>
            </w:pPr>
            <w:r w:rsidRPr="00A65B0F">
              <w:rPr>
                <w:szCs w:val="24"/>
              </w:rPr>
              <w:t xml:space="preserve">Specialist referral or advice should be considered if there are concerns about rapid-dose escalation with continued unacceptable pain relief, or if &gt;180 mg/day morphine equivalent dose is required. </w:t>
            </w:r>
          </w:p>
          <w:p w14:paraId="123FD271" w14:textId="77777777" w:rsidR="00A65B0F" w:rsidRPr="00A65B0F" w:rsidRDefault="00A65B0F" w:rsidP="00C41A3E">
            <w:pPr>
              <w:rPr>
                <w:szCs w:val="24"/>
              </w:rPr>
            </w:pPr>
          </w:p>
          <w:p w14:paraId="3578F418" w14:textId="77777777" w:rsidR="00A65B0F" w:rsidRPr="00A65B0F" w:rsidRDefault="00A65B0F" w:rsidP="00C41A3E">
            <w:pPr>
              <w:ind w:left="360"/>
              <w:rPr>
                <w:szCs w:val="24"/>
              </w:rPr>
            </w:pPr>
            <w:r w:rsidRPr="00A65B0F">
              <w:rPr>
                <w:b/>
                <w:szCs w:val="24"/>
              </w:rPr>
              <w:t xml:space="preserve">Good Practice Points </w:t>
            </w:r>
            <w:r w:rsidRPr="00A65B0F">
              <w:rPr>
                <w:szCs w:val="24"/>
              </w:rPr>
              <w:t>(based on clinical experience of the guideline development group)</w:t>
            </w:r>
          </w:p>
          <w:p w14:paraId="7C391BA6" w14:textId="77777777" w:rsidR="00A65B0F" w:rsidRPr="00A65B0F" w:rsidRDefault="00A65B0F" w:rsidP="00A65B0F">
            <w:pPr>
              <w:pStyle w:val="ListParagraph"/>
              <w:numPr>
                <w:ilvl w:val="0"/>
                <w:numId w:val="4"/>
              </w:numPr>
              <w:rPr>
                <w:szCs w:val="24"/>
              </w:rPr>
            </w:pPr>
            <w:r w:rsidRPr="00A65B0F">
              <w:rPr>
                <w:szCs w:val="24"/>
              </w:rPr>
              <w:t>All patients on strong opioids should be assessed regularly for changes in pain relief, side effects and quality of life, with consideration given to a gradual reduction to the lowest effective dose.</w:t>
            </w:r>
          </w:p>
          <w:p w14:paraId="35E6B4D4" w14:textId="77777777" w:rsidR="00A65B0F" w:rsidRPr="00A65B0F" w:rsidRDefault="00A65B0F" w:rsidP="00A65B0F">
            <w:pPr>
              <w:pStyle w:val="ListParagraph"/>
              <w:numPr>
                <w:ilvl w:val="0"/>
                <w:numId w:val="4"/>
              </w:numPr>
              <w:rPr>
                <w:szCs w:val="24"/>
              </w:rPr>
            </w:pPr>
            <w:r w:rsidRPr="00A65B0F">
              <w:rPr>
                <w:szCs w:val="24"/>
              </w:rPr>
              <w:t>Opioid rotation should be considered for chronic pain that is likely to respond to opioids, if there are problems with efficacy or side effects.</w:t>
            </w:r>
          </w:p>
          <w:p w14:paraId="6EB3F6DD" w14:textId="77777777" w:rsidR="00A65B0F" w:rsidRPr="007152AE" w:rsidRDefault="00A65B0F" w:rsidP="00A65B0F">
            <w:pPr>
              <w:pStyle w:val="ListParagraph"/>
              <w:numPr>
                <w:ilvl w:val="0"/>
                <w:numId w:val="4"/>
              </w:numPr>
              <w:rPr>
                <w:sz w:val="20"/>
              </w:rPr>
            </w:pPr>
            <w:r w:rsidRPr="00A65B0F">
              <w:rPr>
                <w:szCs w:val="24"/>
              </w:rPr>
              <w:t>There should be careful assessment of pre-existing risk factors for developing opioid misuse. In patients where opioid therapy is indicated, but there is an increased risk of iatrogenic opioid misuse, specialist advice should be sought. The minimal effective dose should be used to avoid increased problems of fracture and overdose that may occur on higher doses.</w:t>
            </w:r>
          </w:p>
        </w:tc>
      </w:tr>
      <w:bookmarkEnd w:id="3"/>
    </w:tbl>
    <w:p w14:paraId="3EF81AED" w14:textId="77777777" w:rsidR="00A65B0F" w:rsidRDefault="00A65B0F" w:rsidP="00A65B0F"/>
    <w:p w14:paraId="2919782F" w14:textId="77777777" w:rsidR="00A65B0F" w:rsidRDefault="00A65B0F" w:rsidP="00A65B0F"/>
    <w:p w14:paraId="4CA72EAF" w14:textId="77777777" w:rsidR="00426463" w:rsidRDefault="00426463" w:rsidP="00A65B0F">
      <w:pPr>
        <w:sectPr w:rsidR="00426463">
          <w:pgSz w:w="11906" w:h="16838"/>
          <w:pgMar w:top="1440" w:right="1440" w:bottom="1440" w:left="1440" w:header="708" w:footer="708" w:gutter="0"/>
          <w:cols w:space="708"/>
          <w:docGrid w:linePitch="360"/>
        </w:sectPr>
      </w:pPr>
    </w:p>
    <w:p w14:paraId="44B6DD32" w14:textId="4EA4E8E4" w:rsidR="00426463" w:rsidRDefault="00426463" w:rsidP="00426463">
      <w:pPr>
        <w:pStyle w:val="Heading1"/>
        <w:jc w:val="left"/>
      </w:pPr>
      <w:bookmarkStart w:id="4" w:name="_Toc114677327"/>
      <w:r w:rsidRPr="00B80F68">
        <w:rPr>
          <w:b/>
          <w:szCs w:val="24"/>
        </w:rPr>
        <w:lastRenderedPageBreak/>
        <w:t xml:space="preserve">Supplementary </w:t>
      </w:r>
      <w:r>
        <w:rPr>
          <w:b/>
          <w:szCs w:val="24"/>
        </w:rPr>
        <w:t>Box</w:t>
      </w:r>
      <w:r w:rsidRPr="00B80F68">
        <w:rPr>
          <w:b/>
          <w:szCs w:val="24"/>
        </w:rPr>
        <w:t xml:space="preserve"> S</w:t>
      </w:r>
      <w:r>
        <w:rPr>
          <w:b/>
          <w:szCs w:val="24"/>
        </w:rPr>
        <w:t>2</w:t>
      </w:r>
      <w:r w:rsidRPr="00B80F68">
        <w:rPr>
          <w:b/>
          <w:szCs w:val="24"/>
        </w:rPr>
        <w:t>.</w:t>
      </w:r>
      <w:r>
        <w:rPr>
          <w:b/>
          <w:szCs w:val="24"/>
        </w:rPr>
        <w:t xml:space="preserve"> </w:t>
      </w:r>
      <w:r w:rsidRPr="00A65B0F">
        <w:t>Summary</w:t>
      </w:r>
      <w:r w:rsidRPr="00BC410E">
        <w:t xml:space="preserve"> of the original SIGN 136 guideline (2013 edition) </w:t>
      </w:r>
      <w:r w:rsidR="00C238BF">
        <w:t>recommendations</w:t>
      </w:r>
      <w:r w:rsidRPr="00BC410E">
        <w:t xml:space="preserve"> for use of </w:t>
      </w:r>
      <w:proofErr w:type="spellStart"/>
      <w:r w:rsidR="00CA7C45">
        <w:t>gabapentinoids</w:t>
      </w:r>
      <w:proofErr w:type="spellEnd"/>
      <w:r w:rsidR="00CA7C45">
        <w:t xml:space="preserve"> (gabapentin and pregabalin)</w:t>
      </w:r>
      <w:r w:rsidRPr="00BC410E">
        <w:t xml:space="preserve"> in the management of adults with chronic non-malignant pain in non-specialist settings</w:t>
      </w:r>
      <w:bookmarkEnd w:id="4"/>
    </w:p>
    <w:p w14:paraId="61E244AB" w14:textId="6A5C76FB" w:rsidR="00A73395" w:rsidRDefault="00A73395" w:rsidP="00A73395"/>
    <w:tbl>
      <w:tblPr>
        <w:tblStyle w:val="TableGrid"/>
        <w:tblW w:w="0" w:type="auto"/>
        <w:tblLook w:val="04A0" w:firstRow="1" w:lastRow="0" w:firstColumn="1" w:lastColumn="0" w:noHBand="0" w:noVBand="1"/>
      </w:tblPr>
      <w:tblGrid>
        <w:gridCol w:w="9016"/>
      </w:tblGrid>
      <w:tr w:rsidR="00A73395" w14:paraId="3B328F62" w14:textId="77777777" w:rsidTr="00C346EC">
        <w:trPr>
          <w:trHeight w:val="2778"/>
        </w:trPr>
        <w:tc>
          <w:tcPr>
            <w:tcW w:w="9016" w:type="dxa"/>
          </w:tcPr>
          <w:p w14:paraId="76746915" w14:textId="7A67A8ED" w:rsidR="00A56631" w:rsidRPr="003243AD" w:rsidRDefault="003243AD" w:rsidP="00C346EC">
            <w:pPr>
              <w:ind w:left="360"/>
              <w:rPr>
                <w:bCs/>
                <w:szCs w:val="24"/>
              </w:rPr>
            </w:pPr>
            <w:r>
              <w:rPr>
                <w:b/>
                <w:szCs w:val="24"/>
              </w:rPr>
              <w:t xml:space="preserve">Recommendations </w:t>
            </w:r>
            <w:r>
              <w:rPr>
                <w:bCs/>
                <w:szCs w:val="24"/>
              </w:rPr>
              <w:t>(based on evidence)</w:t>
            </w:r>
          </w:p>
          <w:p w14:paraId="11B36612" w14:textId="28E61399" w:rsidR="00A73395" w:rsidRPr="00A65B0F" w:rsidRDefault="00531F31" w:rsidP="00C346EC">
            <w:pPr>
              <w:pStyle w:val="ListParagraph"/>
              <w:numPr>
                <w:ilvl w:val="0"/>
                <w:numId w:val="4"/>
              </w:numPr>
              <w:rPr>
                <w:szCs w:val="24"/>
              </w:rPr>
            </w:pPr>
            <w:r>
              <w:rPr>
                <w:szCs w:val="24"/>
              </w:rPr>
              <w:t xml:space="preserve">Gabapentin (titrated up to at least 1,200mg daily) </w:t>
            </w:r>
            <w:r w:rsidR="001D719B">
              <w:rPr>
                <w:szCs w:val="24"/>
              </w:rPr>
              <w:t>should be considered for the treatment of patients with neuropathic pain</w:t>
            </w:r>
            <w:r>
              <w:rPr>
                <w:szCs w:val="24"/>
              </w:rPr>
              <w:t xml:space="preserve"> </w:t>
            </w:r>
          </w:p>
          <w:p w14:paraId="6BBB2B82" w14:textId="77777777" w:rsidR="009A361C" w:rsidRPr="009A361C" w:rsidRDefault="003243AD" w:rsidP="00C346EC">
            <w:pPr>
              <w:pStyle w:val="ListParagraph"/>
              <w:numPr>
                <w:ilvl w:val="0"/>
                <w:numId w:val="4"/>
              </w:numPr>
              <w:rPr>
                <w:sz w:val="20"/>
              </w:rPr>
            </w:pPr>
            <w:r w:rsidRPr="003243AD">
              <w:rPr>
                <w:szCs w:val="24"/>
              </w:rPr>
              <w:t>Pregabalin</w:t>
            </w:r>
            <w:r w:rsidR="00BA02EB">
              <w:rPr>
                <w:szCs w:val="24"/>
              </w:rPr>
              <w:t xml:space="preserve"> (titrated up to at least </w:t>
            </w:r>
            <w:r w:rsidR="009A361C">
              <w:rPr>
                <w:szCs w:val="24"/>
              </w:rPr>
              <w:t>300mg daily</w:t>
            </w:r>
            <w:r w:rsidR="00BA02EB">
              <w:rPr>
                <w:szCs w:val="24"/>
              </w:rPr>
              <w:t>)</w:t>
            </w:r>
            <w:r w:rsidR="009A361C">
              <w:rPr>
                <w:szCs w:val="24"/>
              </w:rPr>
              <w:t xml:space="preserve"> is recommended for the treatment of patients with neuropathic pain if other first line and second line pharmacological treatments have failed</w:t>
            </w:r>
          </w:p>
          <w:p w14:paraId="30AD93FA" w14:textId="77777777" w:rsidR="0055146F" w:rsidRPr="0055146F" w:rsidRDefault="0055146F" w:rsidP="00C346EC">
            <w:pPr>
              <w:pStyle w:val="ListParagraph"/>
              <w:numPr>
                <w:ilvl w:val="0"/>
                <w:numId w:val="4"/>
              </w:numPr>
              <w:rPr>
                <w:sz w:val="20"/>
              </w:rPr>
            </w:pPr>
            <w:r>
              <w:rPr>
                <w:szCs w:val="24"/>
              </w:rPr>
              <w:t>Pregabalin (titrated up to at least 300mg daily) is recommended for the treatment of patients with fibromyalgia.</w:t>
            </w:r>
          </w:p>
          <w:p w14:paraId="505A81CE" w14:textId="7644C28D" w:rsidR="0055146F" w:rsidRPr="0055146F" w:rsidRDefault="003F6D92" w:rsidP="00C346EC">
            <w:pPr>
              <w:pStyle w:val="ListParagraph"/>
              <w:numPr>
                <w:ilvl w:val="0"/>
                <w:numId w:val="4"/>
              </w:numPr>
              <w:rPr>
                <w:sz w:val="20"/>
              </w:rPr>
            </w:pPr>
            <w:r>
              <w:rPr>
                <w:szCs w:val="24"/>
              </w:rPr>
              <w:t xml:space="preserve">Flexible dosing may improve tolerability. Failure to respond after an appropriate dose for several weeks should result in trial of a different compound. </w:t>
            </w:r>
          </w:p>
        </w:tc>
      </w:tr>
    </w:tbl>
    <w:p w14:paraId="784D6474" w14:textId="77777777" w:rsidR="00A73395" w:rsidRDefault="00A73395" w:rsidP="00A73395"/>
    <w:p w14:paraId="52D472D4" w14:textId="77777777" w:rsidR="00A73395" w:rsidRPr="00A73395" w:rsidRDefault="00A73395" w:rsidP="00A73395"/>
    <w:p w14:paraId="54E056D0" w14:textId="09E5B6EC" w:rsidR="00A65B0F" w:rsidRPr="00A65B0F" w:rsidRDefault="00A65B0F" w:rsidP="00A65B0F">
      <w:pPr>
        <w:sectPr w:rsidR="00A65B0F" w:rsidRPr="00A65B0F">
          <w:pgSz w:w="11906" w:h="16838"/>
          <w:pgMar w:top="1440" w:right="1440" w:bottom="1440" w:left="1440" w:header="708" w:footer="708" w:gutter="0"/>
          <w:cols w:space="708"/>
          <w:docGrid w:linePitch="360"/>
        </w:sectPr>
      </w:pPr>
    </w:p>
    <w:p w14:paraId="47EE5FF8" w14:textId="3571413B" w:rsidR="00B80F68" w:rsidRDefault="00DB11DF" w:rsidP="00B80F68">
      <w:pPr>
        <w:pStyle w:val="Heading1"/>
        <w:spacing w:after="240"/>
        <w:jc w:val="left"/>
      </w:pPr>
      <w:bookmarkStart w:id="5" w:name="_Toc114677328"/>
      <w:r w:rsidRPr="00B80F68">
        <w:rPr>
          <w:b/>
          <w:szCs w:val="24"/>
        </w:rPr>
        <w:lastRenderedPageBreak/>
        <w:t>Supplementary Table S1.</w:t>
      </w:r>
      <w:bookmarkEnd w:id="1"/>
      <w:r w:rsidRPr="00DB11DF">
        <w:rPr>
          <w:szCs w:val="24"/>
        </w:rPr>
        <w:t xml:space="preserve"> </w:t>
      </w:r>
      <w:r w:rsidRPr="00B80F68">
        <w:t xml:space="preserve">Framework </w:t>
      </w:r>
      <w:r w:rsidR="00B80F68" w:rsidRPr="00B80F68">
        <w:t>for</w:t>
      </w:r>
      <w:r w:rsidRPr="00B80F68">
        <w:t xml:space="preserve"> Enhanced Reporting </w:t>
      </w:r>
      <w:r w:rsidR="00B80F68" w:rsidRPr="00B80F68">
        <w:t>o</w:t>
      </w:r>
      <w:r w:rsidRPr="00B80F68">
        <w:t>f Interrupted Time Series Studies (FERITS) Statement</w:t>
      </w:r>
      <w:bookmarkEnd w:id="5"/>
    </w:p>
    <w:tbl>
      <w:tblPr>
        <w:tblStyle w:val="TableGrid"/>
        <w:tblW w:w="5107" w:type="pct"/>
        <w:tblLayout w:type="fixed"/>
        <w:tblLook w:val="04A0" w:firstRow="1" w:lastRow="0" w:firstColumn="1" w:lastColumn="0" w:noHBand="0" w:noVBand="1"/>
      </w:tblPr>
      <w:tblGrid>
        <w:gridCol w:w="1813"/>
        <w:gridCol w:w="755"/>
        <w:gridCol w:w="5446"/>
        <w:gridCol w:w="1195"/>
      </w:tblGrid>
      <w:tr w:rsidR="002C11F7" w14:paraId="31E83E48" w14:textId="77777777" w:rsidTr="00582737">
        <w:tc>
          <w:tcPr>
            <w:tcW w:w="984" w:type="pct"/>
            <w:shd w:val="clear" w:color="auto" w:fill="B2A1C7"/>
            <w:vAlign w:val="center"/>
          </w:tcPr>
          <w:p w14:paraId="7FB9E8FB" w14:textId="77777777" w:rsidR="00B80F68" w:rsidRPr="0068420F" w:rsidRDefault="00B80F68" w:rsidP="005041D1">
            <w:pPr>
              <w:jc w:val="center"/>
              <w:rPr>
                <w:b/>
                <w:bCs/>
              </w:rPr>
            </w:pPr>
            <w:r w:rsidRPr="0068420F">
              <w:rPr>
                <w:b/>
                <w:bCs/>
              </w:rPr>
              <w:t>Section</w:t>
            </w:r>
          </w:p>
        </w:tc>
        <w:tc>
          <w:tcPr>
            <w:tcW w:w="410" w:type="pct"/>
            <w:shd w:val="clear" w:color="auto" w:fill="B2A1C7"/>
            <w:vAlign w:val="center"/>
          </w:tcPr>
          <w:p w14:paraId="5AD21FE7" w14:textId="0FD07C77" w:rsidR="00E82D5C" w:rsidRDefault="00B80F68" w:rsidP="00E82D5C">
            <w:pPr>
              <w:jc w:val="center"/>
              <w:rPr>
                <w:b/>
                <w:bCs/>
              </w:rPr>
            </w:pPr>
            <w:r w:rsidRPr="0068420F">
              <w:rPr>
                <w:b/>
                <w:bCs/>
              </w:rPr>
              <w:t>It</w:t>
            </w:r>
            <w:r w:rsidR="00582737">
              <w:rPr>
                <w:b/>
                <w:bCs/>
              </w:rPr>
              <w:t>e</w:t>
            </w:r>
            <w:r w:rsidRPr="0068420F">
              <w:rPr>
                <w:b/>
                <w:bCs/>
              </w:rPr>
              <w:t>m</w:t>
            </w:r>
          </w:p>
          <w:p w14:paraId="1FB00870" w14:textId="77777777" w:rsidR="00B80F68" w:rsidRPr="0068420F" w:rsidRDefault="00B80F68" w:rsidP="005041D1">
            <w:pPr>
              <w:jc w:val="center"/>
              <w:rPr>
                <w:b/>
                <w:bCs/>
              </w:rPr>
            </w:pPr>
            <w:r>
              <w:rPr>
                <w:b/>
                <w:bCs/>
              </w:rPr>
              <w:t>#</w:t>
            </w:r>
          </w:p>
        </w:tc>
        <w:tc>
          <w:tcPr>
            <w:tcW w:w="2957" w:type="pct"/>
            <w:shd w:val="clear" w:color="auto" w:fill="B2A1C7"/>
            <w:vAlign w:val="center"/>
          </w:tcPr>
          <w:p w14:paraId="3F407193" w14:textId="77777777" w:rsidR="00B80F68" w:rsidRPr="0068420F" w:rsidRDefault="00B80F68" w:rsidP="005041D1">
            <w:pPr>
              <w:jc w:val="center"/>
              <w:rPr>
                <w:b/>
                <w:bCs/>
              </w:rPr>
            </w:pPr>
            <w:r w:rsidRPr="0068420F">
              <w:rPr>
                <w:b/>
                <w:bCs/>
              </w:rPr>
              <w:t>Recommendation</w:t>
            </w:r>
          </w:p>
        </w:tc>
        <w:tc>
          <w:tcPr>
            <w:tcW w:w="648" w:type="pct"/>
            <w:shd w:val="clear" w:color="auto" w:fill="B2A1C7"/>
            <w:vAlign w:val="center"/>
          </w:tcPr>
          <w:p w14:paraId="2651F9C8" w14:textId="77777777" w:rsidR="00B80F68" w:rsidRPr="0068420F" w:rsidRDefault="00B80F68" w:rsidP="005041D1">
            <w:pPr>
              <w:jc w:val="center"/>
              <w:rPr>
                <w:b/>
                <w:bCs/>
              </w:rPr>
            </w:pPr>
            <w:r>
              <w:rPr>
                <w:b/>
                <w:bCs/>
              </w:rPr>
              <w:t>Page #</w:t>
            </w:r>
          </w:p>
        </w:tc>
      </w:tr>
      <w:tr w:rsidR="00B80F68" w14:paraId="58E99209" w14:textId="77777777" w:rsidTr="00582737">
        <w:tc>
          <w:tcPr>
            <w:tcW w:w="5000" w:type="pct"/>
            <w:gridSpan w:val="4"/>
            <w:shd w:val="clear" w:color="auto" w:fill="FFFFCC"/>
          </w:tcPr>
          <w:p w14:paraId="35AA14B7" w14:textId="77777777" w:rsidR="00B80F68" w:rsidRPr="00DB11DF" w:rsidRDefault="00B80F68" w:rsidP="00C41A3E">
            <w:pPr>
              <w:rPr>
                <w:b/>
                <w:bCs/>
              </w:rPr>
            </w:pPr>
            <w:r w:rsidRPr="00DB11DF">
              <w:rPr>
                <w:b/>
                <w:bCs/>
              </w:rPr>
              <w:t>Title and Abstract</w:t>
            </w:r>
          </w:p>
        </w:tc>
      </w:tr>
      <w:tr w:rsidR="002C11F7" w14:paraId="26062649" w14:textId="77777777" w:rsidTr="00582737">
        <w:tc>
          <w:tcPr>
            <w:tcW w:w="984" w:type="pct"/>
            <w:vMerge w:val="restart"/>
          </w:tcPr>
          <w:p w14:paraId="13945025" w14:textId="77777777" w:rsidR="00B80F68" w:rsidRDefault="00B80F68" w:rsidP="00C41A3E">
            <w:r>
              <w:t>Title and Abstract</w:t>
            </w:r>
          </w:p>
        </w:tc>
        <w:tc>
          <w:tcPr>
            <w:tcW w:w="410" w:type="pct"/>
            <w:vMerge w:val="restart"/>
          </w:tcPr>
          <w:p w14:paraId="3BD34BFF" w14:textId="77777777" w:rsidR="00B80F68" w:rsidRDefault="00B80F68" w:rsidP="00C41A3E">
            <w:pPr>
              <w:jc w:val="center"/>
            </w:pPr>
            <w:r>
              <w:t>1</w:t>
            </w:r>
          </w:p>
        </w:tc>
        <w:tc>
          <w:tcPr>
            <w:tcW w:w="2957" w:type="pct"/>
          </w:tcPr>
          <w:p w14:paraId="34174416" w14:textId="77777777" w:rsidR="00B80F68" w:rsidRDefault="00B80F68" w:rsidP="00C41A3E">
            <w:r>
              <w:t>Study design (interrupted time series) indicated in the title or the abstract</w:t>
            </w:r>
          </w:p>
        </w:tc>
        <w:tc>
          <w:tcPr>
            <w:tcW w:w="648" w:type="pct"/>
            <w:vAlign w:val="center"/>
          </w:tcPr>
          <w:p w14:paraId="7B9BE0A5" w14:textId="5F895A92" w:rsidR="00476912" w:rsidRPr="00F2311D" w:rsidRDefault="000D24D1" w:rsidP="000D24D1">
            <w:pPr>
              <w:jc w:val="center"/>
              <w:rPr>
                <w:b/>
                <w:bCs/>
              </w:rPr>
            </w:pPr>
            <w:r w:rsidRPr="00F2311D">
              <w:rPr>
                <w:b/>
                <w:bCs/>
              </w:rPr>
              <w:t>1</w:t>
            </w:r>
          </w:p>
        </w:tc>
      </w:tr>
      <w:tr w:rsidR="002C11F7" w14:paraId="0DB28379" w14:textId="77777777" w:rsidTr="00582737">
        <w:tc>
          <w:tcPr>
            <w:tcW w:w="984" w:type="pct"/>
            <w:vMerge/>
          </w:tcPr>
          <w:p w14:paraId="54F77A3D" w14:textId="77777777" w:rsidR="00B80F68" w:rsidRDefault="00B80F68" w:rsidP="00C41A3E"/>
        </w:tc>
        <w:tc>
          <w:tcPr>
            <w:tcW w:w="410" w:type="pct"/>
            <w:vMerge/>
          </w:tcPr>
          <w:p w14:paraId="35194715" w14:textId="77777777" w:rsidR="00B80F68" w:rsidRDefault="00B80F68" w:rsidP="00C41A3E"/>
        </w:tc>
        <w:tc>
          <w:tcPr>
            <w:tcW w:w="2957" w:type="pct"/>
          </w:tcPr>
          <w:p w14:paraId="25C8D110" w14:textId="77777777" w:rsidR="00B80F68" w:rsidRDefault="00B80F68" w:rsidP="00C41A3E">
            <w:r>
              <w:t>Structured abstract</w:t>
            </w:r>
          </w:p>
        </w:tc>
        <w:tc>
          <w:tcPr>
            <w:tcW w:w="648" w:type="pct"/>
            <w:vAlign w:val="center"/>
          </w:tcPr>
          <w:p w14:paraId="240923E3" w14:textId="216BAD56" w:rsidR="00B80F68" w:rsidRPr="00F2311D" w:rsidRDefault="00F2311D" w:rsidP="000D24D1">
            <w:pPr>
              <w:jc w:val="center"/>
              <w:rPr>
                <w:b/>
                <w:bCs/>
              </w:rPr>
            </w:pPr>
            <w:r>
              <w:rPr>
                <w:b/>
                <w:bCs/>
              </w:rPr>
              <w:t>2</w:t>
            </w:r>
          </w:p>
        </w:tc>
      </w:tr>
      <w:tr w:rsidR="002C11F7" w14:paraId="2B47427C" w14:textId="77777777" w:rsidTr="00582737">
        <w:tc>
          <w:tcPr>
            <w:tcW w:w="984" w:type="pct"/>
            <w:vMerge/>
          </w:tcPr>
          <w:p w14:paraId="146A81CA" w14:textId="77777777" w:rsidR="00B80F68" w:rsidRDefault="00B80F68" w:rsidP="00C41A3E"/>
        </w:tc>
        <w:tc>
          <w:tcPr>
            <w:tcW w:w="410" w:type="pct"/>
            <w:vMerge/>
          </w:tcPr>
          <w:p w14:paraId="5501EB23" w14:textId="77777777" w:rsidR="00B80F68" w:rsidRDefault="00B80F68" w:rsidP="00C41A3E"/>
        </w:tc>
        <w:tc>
          <w:tcPr>
            <w:tcW w:w="2957" w:type="pct"/>
          </w:tcPr>
          <w:p w14:paraId="45A685DD" w14:textId="77777777" w:rsidR="00B80F68" w:rsidRDefault="00B80F68" w:rsidP="00C41A3E">
            <w:r>
              <w:t>Information on target population or study sample</w:t>
            </w:r>
          </w:p>
        </w:tc>
        <w:tc>
          <w:tcPr>
            <w:tcW w:w="648" w:type="pct"/>
            <w:vAlign w:val="center"/>
          </w:tcPr>
          <w:p w14:paraId="206A5B8F" w14:textId="3AE58453" w:rsidR="00B80F68" w:rsidRPr="00F2311D" w:rsidRDefault="00F2311D" w:rsidP="000D24D1">
            <w:pPr>
              <w:jc w:val="center"/>
              <w:rPr>
                <w:b/>
                <w:bCs/>
              </w:rPr>
            </w:pPr>
            <w:r>
              <w:rPr>
                <w:b/>
                <w:bCs/>
              </w:rPr>
              <w:t>2</w:t>
            </w:r>
          </w:p>
        </w:tc>
      </w:tr>
      <w:tr w:rsidR="00B80F68" w14:paraId="7216BB1A" w14:textId="77777777" w:rsidTr="00582737">
        <w:tc>
          <w:tcPr>
            <w:tcW w:w="5000" w:type="pct"/>
            <w:gridSpan w:val="4"/>
            <w:shd w:val="clear" w:color="auto" w:fill="FFFFCC"/>
          </w:tcPr>
          <w:p w14:paraId="67CE581A" w14:textId="77777777" w:rsidR="00B80F68" w:rsidRPr="00DB11DF" w:rsidRDefault="00B80F68" w:rsidP="00C41A3E">
            <w:pPr>
              <w:rPr>
                <w:b/>
                <w:bCs/>
              </w:rPr>
            </w:pPr>
            <w:r w:rsidRPr="00DB11DF">
              <w:rPr>
                <w:b/>
                <w:bCs/>
              </w:rPr>
              <w:t>Introduction</w:t>
            </w:r>
          </w:p>
        </w:tc>
      </w:tr>
      <w:tr w:rsidR="002C11F7" w14:paraId="258D4DE9" w14:textId="77777777" w:rsidTr="00582737">
        <w:tc>
          <w:tcPr>
            <w:tcW w:w="984" w:type="pct"/>
          </w:tcPr>
          <w:p w14:paraId="6D14D698" w14:textId="77777777" w:rsidR="00B80F68" w:rsidRDefault="00B80F68" w:rsidP="00C41A3E">
            <w:r>
              <w:t>Background</w:t>
            </w:r>
          </w:p>
        </w:tc>
        <w:tc>
          <w:tcPr>
            <w:tcW w:w="410" w:type="pct"/>
          </w:tcPr>
          <w:p w14:paraId="537972B0" w14:textId="77777777" w:rsidR="00B80F68" w:rsidRDefault="00B80F68" w:rsidP="003D7780">
            <w:pPr>
              <w:jc w:val="center"/>
            </w:pPr>
            <w:r>
              <w:t>2</w:t>
            </w:r>
          </w:p>
        </w:tc>
        <w:tc>
          <w:tcPr>
            <w:tcW w:w="2957" w:type="pct"/>
          </w:tcPr>
          <w:p w14:paraId="7531B24F" w14:textId="77777777" w:rsidR="00B80F68" w:rsidRDefault="00B80F68" w:rsidP="00C41A3E">
            <w:r>
              <w:t>Scientific background and explanation of rationale</w:t>
            </w:r>
          </w:p>
        </w:tc>
        <w:tc>
          <w:tcPr>
            <w:tcW w:w="648" w:type="pct"/>
            <w:vAlign w:val="center"/>
          </w:tcPr>
          <w:p w14:paraId="0E9281E1" w14:textId="620104BF" w:rsidR="00B80F68" w:rsidRPr="00F2311D" w:rsidRDefault="00DA1A97" w:rsidP="00F2311D">
            <w:pPr>
              <w:jc w:val="center"/>
              <w:rPr>
                <w:b/>
                <w:bCs/>
              </w:rPr>
            </w:pPr>
            <w:r>
              <w:rPr>
                <w:b/>
                <w:bCs/>
              </w:rPr>
              <w:t>4</w:t>
            </w:r>
          </w:p>
        </w:tc>
      </w:tr>
      <w:tr w:rsidR="002C11F7" w14:paraId="6CEE10CF" w14:textId="77777777" w:rsidTr="00582737">
        <w:tc>
          <w:tcPr>
            <w:tcW w:w="984" w:type="pct"/>
          </w:tcPr>
          <w:p w14:paraId="38F2ADD3" w14:textId="77777777" w:rsidR="00B80F68" w:rsidRDefault="00B80F68" w:rsidP="00C41A3E">
            <w:r>
              <w:t>Objectives</w:t>
            </w:r>
          </w:p>
        </w:tc>
        <w:tc>
          <w:tcPr>
            <w:tcW w:w="410" w:type="pct"/>
          </w:tcPr>
          <w:p w14:paraId="51034ABF" w14:textId="77777777" w:rsidR="00B80F68" w:rsidRDefault="00B80F68" w:rsidP="003D7780">
            <w:pPr>
              <w:jc w:val="center"/>
            </w:pPr>
            <w:r>
              <w:t>3</w:t>
            </w:r>
          </w:p>
        </w:tc>
        <w:tc>
          <w:tcPr>
            <w:tcW w:w="2957" w:type="pct"/>
          </w:tcPr>
          <w:p w14:paraId="06576C17" w14:textId="77777777" w:rsidR="00B80F68" w:rsidRDefault="00B80F68" w:rsidP="00C41A3E">
            <w:r>
              <w:t>Specific objectives and hypotheses</w:t>
            </w:r>
          </w:p>
        </w:tc>
        <w:tc>
          <w:tcPr>
            <w:tcW w:w="648" w:type="pct"/>
            <w:vAlign w:val="center"/>
          </w:tcPr>
          <w:p w14:paraId="62DA54A4" w14:textId="5E54412E" w:rsidR="00B80F68" w:rsidRPr="00F2311D" w:rsidRDefault="00F35344" w:rsidP="00F2311D">
            <w:pPr>
              <w:jc w:val="center"/>
              <w:rPr>
                <w:b/>
                <w:bCs/>
              </w:rPr>
            </w:pPr>
            <w:r>
              <w:rPr>
                <w:b/>
                <w:bCs/>
              </w:rPr>
              <w:t>5</w:t>
            </w:r>
          </w:p>
        </w:tc>
      </w:tr>
      <w:tr w:rsidR="00B80F68" w14:paraId="3AF76926" w14:textId="77777777" w:rsidTr="00582737">
        <w:tc>
          <w:tcPr>
            <w:tcW w:w="5000" w:type="pct"/>
            <w:gridSpan w:val="4"/>
            <w:shd w:val="clear" w:color="auto" w:fill="FFFFCC"/>
          </w:tcPr>
          <w:p w14:paraId="0407D15C" w14:textId="77777777" w:rsidR="00B80F68" w:rsidRPr="00DB11DF" w:rsidRDefault="00B80F68" w:rsidP="00C41A3E">
            <w:pPr>
              <w:rPr>
                <w:b/>
                <w:bCs/>
              </w:rPr>
            </w:pPr>
            <w:r w:rsidRPr="00DB11DF">
              <w:rPr>
                <w:b/>
                <w:bCs/>
              </w:rPr>
              <w:t>Methods</w:t>
            </w:r>
          </w:p>
        </w:tc>
      </w:tr>
      <w:tr w:rsidR="002C11F7" w14:paraId="3289099D" w14:textId="77777777" w:rsidTr="00582737">
        <w:tc>
          <w:tcPr>
            <w:tcW w:w="984" w:type="pct"/>
            <w:vMerge w:val="restart"/>
          </w:tcPr>
          <w:p w14:paraId="4089AF85" w14:textId="77777777" w:rsidR="00B80F68" w:rsidRDefault="00B80F68" w:rsidP="00C41A3E">
            <w:r>
              <w:t>Study Population</w:t>
            </w:r>
          </w:p>
        </w:tc>
        <w:tc>
          <w:tcPr>
            <w:tcW w:w="410" w:type="pct"/>
            <w:vMerge w:val="restart"/>
          </w:tcPr>
          <w:p w14:paraId="7D1F5D8D" w14:textId="77777777" w:rsidR="00B80F68" w:rsidRDefault="00B80F68" w:rsidP="003D7780">
            <w:pPr>
              <w:jc w:val="center"/>
            </w:pPr>
            <w:r>
              <w:t>4</w:t>
            </w:r>
          </w:p>
        </w:tc>
        <w:tc>
          <w:tcPr>
            <w:tcW w:w="2957" w:type="pct"/>
          </w:tcPr>
          <w:p w14:paraId="3754DB11" w14:textId="77777777" w:rsidR="00B80F68" w:rsidRDefault="00B80F68" w:rsidP="00C41A3E">
            <w:r>
              <w:t>Eligibility criteria for participants, including criteria at different levels in recruitment/sampling plan (e.g., cities, clinics, subjects)</w:t>
            </w:r>
          </w:p>
        </w:tc>
        <w:tc>
          <w:tcPr>
            <w:tcW w:w="648" w:type="pct"/>
            <w:vAlign w:val="center"/>
          </w:tcPr>
          <w:p w14:paraId="4D64E3EE" w14:textId="568EE0C8" w:rsidR="00B80F68" w:rsidRPr="000B7EBA" w:rsidRDefault="005260DD" w:rsidP="00D3317B">
            <w:pPr>
              <w:jc w:val="center"/>
              <w:rPr>
                <w:b/>
                <w:bCs/>
              </w:rPr>
            </w:pPr>
            <w:r w:rsidRPr="000B7EBA">
              <w:rPr>
                <w:b/>
                <w:bCs/>
              </w:rPr>
              <w:t>n/a</w:t>
            </w:r>
          </w:p>
        </w:tc>
      </w:tr>
      <w:tr w:rsidR="002C11F7" w14:paraId="1E5DF24B" w14:textId="77777777" w:rsidTr="00582737">
        <w:tc>
          <w:tcPr>
            <w:tcW w:w="984" w:type="pct"/>
            <w:vMerge/>
          </w:tcPr>
          <w:p w14:paraId="4E4291F1" w14:textId="77777777" w:rsidR="00B80F68" w:rsidRDefault="00B80F68" w:rsidP="00C41A3E"/>
        </w:tc>
        <w:tc>
          <w:tcPr>
            <w:tcW w:w="410" w:type="pct"/>
            <w:vMerge/>
          </w:tcPr>
          <w:p w14:paraId="6AE5B672" w14:textId="77777777" w:rsidR="00B80F68" w:rsidRDefault="00B80F68" w:rsidP="00C41A3E"/>
        </w:tc>
        <w:tc>
          <w:tcPr>
            <w:tcW w:w="2957" w:type="pct"/>
          </w:tcPr>
          <w:p w14:paraId="099522D6" w14:textId="77777777" w:rsidR="00B80F68" w:rsidRDefault="00B80F68" w:rsidP="00C41A3E">
            <w:r>
              <w:t>Methods of study population selection (such as codes or algorithms used to identify subjects from routine datasets)</w:t>
            </w:r>
          </w:p>
        </w:tc>
        <w:tc>
          <w:tcPr>
            <w:tcW w:w="648" w:type="pct"/>
            <w:vAlign w:val="center"/>
          </w:tcPr>
          <w:p w14:paraId="3966231D" w14:textId="6188624F" w:rsidR="00B80F68" w:rsidRPr="000B7EBA" w:rsidRDefault="00BE0ACB" w:rsidP="000B7EBA">
            <w:pPr>
              <w:jc w:val="center"/>
              <w:rPr>
                <w:b/>
                <w:bCs/>
              </w:rPr>
            </w:pPr>
            <w:r>
              <w:rPr>
                <w:b/>
                <w:bCs/>
              </w:rPr>
              <w:t>n/a</w:t>
            </w:r>
          </w:p>
        </w:tc>
      </w:tr>
      <w:tr w:rsidR="002C11F7" w14:paraId="18789CC0" w14:textId="77777777" w:rsidTr="00582737">
        <w:tc>
          <w:tcPr>
            <w:tcW w:w="984" w:type="pct"/>
            <w:vMerge/>
          </w:tcPr>
          <w:p w14:paraId="1524EA29" w14:textId="77777777" w:rsidR="00B80F68" w:rsidRDefault="00B80F68" w:rsidP="00C41A3E"/>
        </w:tc>
        <w:tc>
          <w:tcPr>
            <w:tcW w:w="410" w:type="pct"/>
            <w:vMerge/>
          </w:tcPr>
          <w:p w14:paraId="4437E23D" w14:textId="77777777" w:rsidR="00B80F68" w:rsidRDefault="00B80F68" w:rsidP="00C41A3E"/>
        </w:tc>
        <w:tc>
          <w:tcPr>
            <w:tcW w:w="2957" w:type="pct"/>
          </w:tcPr>
          <w:p w14:paraId="2EEF129B" w14:textId="77777777" w:rsidR="00B80F68" w:rsidRDefault="00B80F68" w:rsidP="00C41A3E">
            <w:r>
              <w:t>Settings and locations where the data were collected</w:t>
            </w:r>
          </w:p>
        </w:tc>
        <w:tc>
          <w:tcPr>
            <w:tcW w:w="648" w:type="pct"/>
            <w:vAlign w:val="center"/>
          </w:tcPr>
          <w:p w14:paraId="24A992FC" w14:textId="613F7233" w:rsidR="00B80F68" w:rsidRPr="000B7EBA" w:rsidRDefault="00BA6A0B" w:rsidP="000B7EBA">
            <w:pPr>
              <w:jc w:val="center"/>
              <w:rPr>
                <w:b/>
                <w:bCs/>
              </w:rPr>
            </w:pPr>
            <w:r>
              <w:rPr>
                <w:b/>
                <w:bCs/>
              </w:rPr>
              <w:t>6</w:t>
            </w:r>
          </w:p>
        </w:tc>
      </w:tr>
      <w:tr w:rsidR="002C11F7" w14:paraId="5F8C82F1" w14:textId="77777777" w:rsidTr="00582737">
        <w:tc>
          <w:tcPr>
            <w:tcW w:w="984" w:type="pct"/>
            <w:vMerge w:val="restart"/>
          </w:tcPr>
          <w:p w14:paraId="66222500" w14:textId="77777777" w:rsidR="00B80F68" w:rsidRDefault="00B80F68" w:rsidP="00C41A3E">
            <w:r>
              <w:t>Study time-period</w:t>
            </w:r>
          </w:p>
        </w:tc>
        <w:tc>
          <w:tcPr>
            <w:tcW w:w="410" w:type="pct"/>
            <w:vMerge w:val="restart"/>
          </w:tcPr>
          <w:p w14:paraId="46F25421" w14:textId="77777777" w:rsidR="00B80F68" w:rsidRDefault="00B80F68" w:rsidP="003D7780">
            <w:pPr>
              <w:jc w:val="center"/>
            </w:pPr>
            <w:r>
              <w:t>5</w:t>
            </w:r>
          </w:p>
        </w:tc>
        <w:tc>
          <w:tcPr>
            <w:tcW w:w="2957" w:type="pct"/>
          </w:tcPr>
          <w:p w14:paraId="59925BBD" w14:textId="77777777" w:rsidR="00B80F68" w:rsidRDefault="00B80F68" w:rsidP="00C41A3E">
            <w:r>
              <w:t>Start and end dates of the data included in the study, including reasons for selecting this date range and whether this was the full dataset available or if data was restricted. (Presentation of the full time series as a web appendix recommended)</w:t>
            </w:r>
          </w:p>
        </w:tc>
        <w:tc>
          <w:tcPr>
            <w:tcW w:w="648" w:type="pct"/>
            <w:vAlign w:val="center"/>
          </w:tcPr>
          <w:p w14:paraId="5ED65520" w14:textId="188DAC0A" w:rsidR="00B80F68" w:rsidRPr="000B7EBA" w:rsidRDefault="00740954" w:rsidP="000B7EBA">
            <w:pPr>
              <w:jc w:val="center"/>
              <w:rPr>
                <w:b/>
                <w:bCs/>
              </w:rPr>
            </w:pPr>
            <w:r>
              <w:rPr>
                <w:b/>
                <w:bCs/>
              </w:rPr>
              <w:t>6</w:t>
            </w:r>
            <w:r w:rsidR="00DC252D">
              <w:rPr>
                <w:b/>
                <w:bCs/>
              </w:rPr>
              <w:t>&amp;</w:t>
            </w:r>
            <w:r w:rsidR="000F44DF">
              <w:rPr>
                <w:b/>
                <w:bCs/>
              </w:rPr>
              <w:t>9</w:t>
            </w:r>
          </w:p>
        </w:tc>
      </w:tr>
      <w:tr w:rsidR="002C11F7" w14:paraId="564F9808" w14:textId="77777777" w:rsidTr="00582737">
        <w:tc>
          <w:tcPr>
            <w:tcW w:w="984" w:type="pct"/>
            <w:vMerge/>
          </w:tcPr>
          <w:p w14:paraId="2C883AFB" w14:textId="77777777" w:rsidR="00B80F68" w:rsidRDefault="00B80F68" w:rsidP="00C41A3E"/>
        </w:tc>
        <w:tc>
          <w:tcPr>
            <w:tcW w:w="410" w:type="pct"/>
            <w:vMerge/>
          </w:tcPr>
          <w:p w14:paraId="014B8A73" w14:textId="77777777" w:rsidR="00B80F68" w:rsidRDefault="00B80F68" w:rsidP="00C41A3E"/>
        </w:tc>
        <w:tc>
          <w:tcPr>
            <w:tcW w:w="2957" w:type="pct"/>
          </w:tcPr>
          <w:p w14:paraId="4A0B1A65" w14:textId="2506EA97" w:rsidR="00B80F68" w:rsidRDefault="00B80F68" w:rsidP="00C41A3E">
            <w:r>
              <w:t>Time intervals used (</w:t>
            </w:r>
            <w:proofErr w:type="gramStart"/>
            <w:r>
              <w:t>e.g.</w:t>
            </w:r>
            <w:proofErr w:type="gramEnd"/>
            <w:r>
              <w:t xml:space="preserve"> daily, monthly, annual) and the reason for selecting this interval</w:t>
            </w:r>
          </w:p>
        </w:tc>
        <w:tc>
          <w:tcPr>
            <w:tcW w:w="648" w:type="pct"/>
            <w:vAlign w:val="center"/>
          </w:tcPr>
          <w:p w14:paraId="27006C83" w14:textId="566732C7" w:rsidR="00B80F68" w:rsidRPr="000B7EBA" w:rsidRDefault="00127EE2" w:rsidP="000B7EBA">
            <w:pPr>
              <w:jc w:val="center"/>
              <w:rPr>
                <w:b/>
                <w:bCs/>
              </w:rPr>
            </w:pPr>
            <w:r>
              <w:rPr>
                <w:b/>
                <w:bCs/>
              </w:rPr>
              <w:t>8</w:t>
            </w:r>
          </w:p>
        </w:tc>
      </w:tr>
      <w:tr w:rsidR="002C11F7" w14:paraId="6B44EBE9" w14:textId="77777777" w:rsidTr="00582737">
        <w:tc>
          <w:tcPr>
            <w:tcW w:w="984" w:type="pct"/>
            <w:vMerge/>
          </w:tcPr>
          <w:p w14:paraId="46885ED2" w14:textId="77777777" w:rsidR="00B80F68" w:rsidRDefault="00B80F68" w:rsidP="00C41A3E"/>
        </w:tc>
        <w:tc>
          <w:tcPr>
            <w:tcW w:w="410" w:type="pct"/>
            <w:vMerge/>
          </w:tcPr>
          <w:p w14:paraId="78AA780D" w14:textId="77777777" w:rsidR="00B80F68" w:rsidRDefault="00B80F68" w:rsidP="00C41A3E"/>
        </w:tc>
        <w:tc>
          <w:tcPr>
            <w:tcW w:w="2957" w:type="pct"/>
          </w:tcPr>
          <w:p w14:paraId="3ECC7BCA" w14:textId="4068E71B" w:rsidR="00B80F68" w:rsidRDefault="00B80F68" w:rsidP="00C41A3E">
            <w:r>
              <w:t>Clear definition of the preintervention period, the intervention point (including any transition period) and the post-intervention period</w:t>
            </w:r>
          </w:p>
        </w:tc>
        <w:tc>
          <w:tcPr>
            <w:tcW w:w="648" w:type="pct"/>
            <w:vAlign w:val="center"/>
          </w:tcPr>
          <w:p w14:paraId="45B5D1F8" w14:textId="75C7E923" w:rsidR="00B80F68" w:rsidRPr="000B7EBA" w:rsidRDefault="00F16CED" w:rsidP="000B7EBA">
            <w:pPr>
              <w:jc w:val="center"/>
              <w:rPr>
                <w:b/>
                <w:bCs/>
              </w:rPr>
            </w:pPr>
            <w:r>
              <w:rPr>
                <w:b/>
                <w:bCs/>
              </w:rPr>
              <w:t>7</w:t>
            </w:r>
            <w:r w:rsidR="00F94FBE">
              <w:rPr>
                <w:b/>
                <w:bCs/>
              </w:rPr>
              <w:t>&amp;</w:t>
            </w:r>
            <w:r w:rsidR="009427C4">
              <w:rPr>
                <w:b/>
                <w:bCs/>
              </w:rPr>
              <w:t>9</w:t>
            </w:r>
          </w:p>
        </w:tc>
      </w:tr>
      <w:tr w:rsidR="002C11F7" w14:paraId="4F1953BD" w14:textId="77777777" w:rsidTr="00582737">
        <w:tc>
          <w:tcPr>
            <w:tcW w:w="984" w:type="pct"/>
            <w:vMerge w:val="restart"/>
          </w:tcPr>
          <w:p w14:paraId="4E1B3B29" w14:textId="5DEE7E83" w:rsidR="00D03CB5" w:rsidRDefault="00D03CB5" w:rsidP="00C41A3E">
            <w:r>
              <w:t>Intervention</w:t>
            </w:r>
          </w:p>
        </w:tc>
        <w:tc>
          <w:tcPr>
            <w:tcW w:w="410" w:type="pct"/>
            <w:vMerge w:val="restart"/>
          </w:tcPr>
          <w:p w14:paraId="05B974EE" w14:textId="21784C5F" w:rsidR="00D03CB5" w:rsidRDefault="00D03CB5" w:rsidP="003D7780">
            <w:pPr>
              <w:jc w:val="center"/>
            </w:pPr>
            <w:r>
              <w:t>6</w:t>
            </w:r>
          </w:p>
        </w:tc>
        <w:tc>
          <w:tcPr>
            <w:tcW w:w="2957" w:type="pct"/>
          </w:tcPr>
          <w:p w14:paraId="36C78A8E" w14:textId="0E33468D" w:rsidR="00D03CB5" w:rsidRDefault="00D03CB5" w:rsidP="00C41A3E">
            <w:r>
              <w:t xml:space="preserve">Details of the intervention(s) and how and when they were </w:t>
            </w:r>
            <w:proofErr w:type="gramStart"/>
            <w:r>
              <w:t>actually administered</w:t>
            </w:r>
            <w:proofErr w:type="gramEnd"/>
            <w:r>
              <w:t>, specifically including:</w:t>
            </w:r>
          </w:p>
        </w:tc>
        <w:tc>
          <w:tcPr>
            <w:tcW w:w="648" w:type="pct"/>
            <w:vAlign w:val="center"/>
          </w:tcPr>
          <w:p w14:paraId="201B36FD" w14:textId="77777777" w:rsidR="00D03CB5" w:rsidRPr="000B7EBA" w:rsidRDefault="00D03CB5" w:rsidP="000B7EBA">
            <w:pPr>
              <w:jc w:val="center"/>
              <w:rPr>
                <w:b/>
                <w:bCs/>
              </w:rPr>
            </w:pPr>
          </w:p>
        </w:tc>
      </w:tr>
      <w:tr w:rsidR="002C11F7" w14:paraId="09719441" w14:textId="77777777" w:rsidTr="00582737">
        <w:tc>
          <w:tcPr>
            <w:tcW w:w="984" w:type="pct"/>
            <w:vMerge/>
          </w:tcPr>
          <w:p w14:paraId="19AE4C9C" w14:textId="77777777" w:rsidR="00D03CB5" w:rsidRDefault="00D03CB5" w:rsidP="00C41A3E"/>
        </w:tc>
        <w:tc>
          <w:tcPr>
            <w:tcW w:w="410" w:type="pct"/>
            <w:vMerge/>
          </w:tcPr>
          <w:p w14:paraId="4EBDB312" w14:textId="77777777" w:rsidR="00D03CB5" w:rsidRDefault="00D03CB5" w:rsidP="00C41A3E"/>
        </w:tc>
        <w:tc>
          <w:tcPr>
            <w:tcW w:w="2957" w:type="pct"/>
          </w:tcPr>
          <w:p w14:paraId="5E8B8E6E" w14:textId="488FD2B6" w:rsidR="00D03CB5" w:rsidRDefault="00D03CB5" w:rsidP="00D03CB5">
            <w:pPr>
              <w:pStyle w:val="ListParagraph"/>
              <w:numPr>
                <w:ilvl w:val="0"/>
                <w:numId w:val="2"/>
              </w:numPr>
            </w:pPr>
            <w:r>
              <w:t>Why: Description of the rationale, theory, or goal of the elements essential to the intervention</w:t>
            </w:r>
          </w:p>
        </w:tc>
        <w:tc>
          <w:tcPr>
            <w:tcW w:w="648" w:type="pct"/>
            <w:vAlign w:val="center"/>
          </w:tcPr>
          <w:p w14:paraId="2AE40A72" w14:textId="28466EE3" w:rsidR="00D03CB5" w:rsidRPr="000B7EBA" w:rsidRDefault="00EA2173" w:rsidP="000B7EBA">
            <w:pPr>
              <w:jc w:val="center"/>
              <w:rPr>
                <w:b/>
                <w:bCs/>
              </w:rPr>
            </w:pPr>
            <w:r>
              <w:rPr>
                <w:b/>
                <w:bCs/>
              </w:rPr>
              <w:t>7</w:t>
            </w:r>
          </w:p>
        </w:tc>
      </w:tr>
      <w:tr w:rsidR="002C11F7" w14:paraId="0D539E71" w14:textId="77777777" w:rsidTr="00582737">
        <w:tc>
          <w:tcPr>
            <w:tcW w:w="984" w:type="pct"/>
            <w:vMerge/>
          </w:tcPr>
          <w:p w14:paraId="6551371C" w14:textId="77777777" w:rsidR="00D03CB5" w:rsidRDefault="00D03CB5" w:rsidP="00C41A3E"/>
        </w:tc>
        <w:tc>
          <w:tcPr>
            <w:tcW w:w="410" w:type="pct"/>
            <w:vMerge/>
          </w:tcPr>
          <w:p w14:paraId="77BC2188" w14:textId="77777777" w:rsidR="00D03CB5" w:rsidRDefault="00D03CB5" w:rsidP="00C41A3E"/>
        </w:tc>
        <w:tc>
          <w:tcPr>
            <w:tcW w:w="2957" w:type="pct"/>
          </w:tcPr>
          <w:p w14:paraId="075F61FC" w14:textId="19901551" w:rsidR="00D03CB5" w:rsidRDefault="00D03CB5" w:rsidP="00D03CB5">
            <w:pPr>
              <w:pStyle w:val="ListParagraph"/>
              <w:numPr>
                <w:ilvl w:val="0"/>
                <w:numId w:val="2"/>
              </w:numPr>
            </w:pPr>
            <w:r>
              <w:t xml:space="preserve">What: Description of what was done including details of any policy changes, procedures, </w:t>
            </w:r>
            <w:proofErr w:type="gramStart"/>
            <w:r>
              <w:t>activities</w:t>
            </w:r>
            <w:proofErr w:type="gramEnd"/>
            <w:r>
              <w:t xml:space="preserve"> and information provided to participants</w:t>
            </w:r>
          </w:p>
        </w:tc>
        <w:tc>
          <w:tcPr>
            <w:tcW w:w="648" w:type="pct"/>
            <w:vAlign w:val="center"/>
          </w:tcPr>
          <w:p w14:paraId="104E47AA" w14:textId="6F312046" w:rsidR="00D03CB5" w:rsidRDefault="00837399" w:rsidP="000B7EBA">
            <w:pPr>
              <w:jc w:val="center"/>
              <w:rPr>
                <w:b/>
                <w:bCs/>
              </w:rPr>
            </w:pPr>
            <w:r>
              <w:rPr>
                <w:b/>
                <w:bCs/>
              </w:rPr>
              <w:t>7</w:t>
            </w:r>
          </w:p>
          <w:p w14:paraId="713EB285" w14:textId="482FA9CB" w:rsidR="00885EF8" w:rsidRPr="000B7EBA" w:rsidRDefault="00885EF8" w:rsidP="000B7EBA">
            <w:pPr>
              <w:jc w:val="center"/>
              <w:rPr>
                <w:b/>
                <w:bCs/>
              </w:rPr>
            </w:pPr>
            <w:r>
              <w:rPr>
                <w:b/>
                <w:bCs/>
              </w:rPr>
              <w:t>Box S</w:t>
            </w:r>
            <w:r w:rsidR="00363ACA">
              <w:rPr>
                <w:b/>
                <w:bCs/>
              </w:rPr>
              <w:t>1&amp;</w:t>
            </w:r>
            <w:r w:rsidR="002F0B77">
              <w:rPr>
                <w:b/>
                <w:bCs/>
              </w:rPr>
              <w:t>S</w:t>
            </w:r>
            <w:r>
              <w:rPr>
                <w:b/>
                <w:bCs/>
              </w:rPr>
              <w:t>2</w:t>
            </w:r>
          </w:p>
        </w:tc>
      </w:tr>
      <w:tr w:rsidR="002C11F7" w14:paraId="6BFB0859" w14:textId="77777777" w:rsidTr="00582737">
        <w:tc>
          <w:tcPr>
            <w:tcW w:w="984" w:type="pct"/>
            <w:vMerge/>
          </w:tcPr>
          <w:p w14:paraId="5BF20DEC" w14:textId="77777777" w:rsidR="00D03CB5" w:rsidRDefault="00D03CB5" w:rsidP="00C41A3E"/>
        </w:tc>
        <w:tc>
          <w:tcPr>
            <w:tcW w:w="410" w:type="pct"/>
            <w:vMerge/>
          </w:tcPr>
          <w:p w14:paraId="700CEB67" w14:textId="77777777" w:rsidR="00D03CB5" w:rsidRDefault="00D03CB5" w:rsidP="00C41A3E"/>
        </w:tc>
        <w:tc>
          <w:tcPr>
            <w:tcW w:w="2957" w:type="pct"/>
          </w:tcPr>
          <w:p w14:paraId="3AAFB200" w14:textId="4537D21A" w:rsidR="00D03CB5" w:rsidRDefault="00D03CB5" w:rsidP="00D03CB5">
            <w:pPr>
              <w:pStyle w:val="ListParagraph"/>
              <w:numPr>
                <w:ilvl w:val="0"/>
                <w:numId w:val="2"/>
              </w:numPr>
            </w:pPr>
            <w:r>
              <w:t>Who: Who developed, implemented and/or provided the intervention</w:t>
            </w:r>
          </w:p>
        </w:tc>
        <w:tc>
          <w:tcPr>
            <w:tcW w:w="648" w:type="pct"/>
            <w:vAlign w:val="center"/>
          </w:tcPr>
          <w:p w14:paraId="014C6CEA" w14:textId="623F7815" w:rsidR="00D03CB5" w:rsidRPr="000B7EBA" w:rsidRDefault="00837399" w:rsidP="000B7EBA">
            <w:pPr>
              <w:jc w:val="center"/>
              <w:rPr>
                <w:b/>
                <w:bCs/>
              </w:rPr>
            </w:pPr>
            <w:r>
              <w:rPr>
                <w:b/>
                <w:bCs/>
              </w:rPr>
              <w:t>7</w:t>
            </w:r>
          </w:p>
        </w:tc>
      </w:tr>
      <w:tr w:rsidR="002C11F7" w14:paraId="2A847869" w14:textId="77777777" w:rsidTr="00582737">
        <w:tc>
          <w:tcPr>
            <w:tcW w:w="984" w:type="pct"/>
            <w:vMerge/>
          </w:tcPr>
          <w:p w14:paraId="187C3925" w14:textId="77777777" w:rsidR="00D03CB5" w:rsidRDefault="00D03CB5" w:rsidP="00C41A3E"/>
        </w:tc>
        <w:tc>
          <w:tcPr>
            <w:tcW w:w="410" w:type="pct"/>
            <w:vMerge/>
          </w:tcPr>
          <w:p w14:paraId="70A8F45D" w14:textId="77777777" w:rsidR="00D03CB5" w:rsidRDefault="00D03CB5" w:rsidP="00C41A3E"/>
        </w:tc>
        <w:tc>
          <w:tcPr>
            <w:tcW w:w="2957" w:type="pct"/>
          </w:tcPr>
          <w:p w14:paraId="1CB38F45" w14:textId="6030405F" w:rsidR="00D03CB5" w:rsidRDefault="00D03CB5" w:rsidP="00D03CB5">
            <w:pPr>
              <w:pStyle w:val="ListParagraph"/>
              <w:numPr>
                <w:ilvl w:val="0"/>
                <w:numId w:val="2"/>
              </w:numPr>
            </w:pPr>
            <w:r>
              <w:t>How: Description of the modes of delivery of the intervention and whether it was provided individually, in a group or to a whole population</w:t>
            </w:r>
          </w:p>
        </w:tc>
        <w:tc>
          <w:tcPr>
            <w:tcW w:w="648" w:type="pct"/>
            <w:vAlign w:val="center"/>
          </w:tcPr>
          <w:p w14:paraId="2F8C0ABB" w14:textId="2A888B29" w:rsidR="00D03CB5" w:rsidRPr="000B7EBA" w:rsidRDefault="00756CA1" w:rsidP="000B7EBA">
            <w:pPr>
              <w:jc w:val="center"/>
              <w:rPr>
                <w:b/>
                <w:bCs/>
              </w:rPr>
            </w:pPr>
            <w:r>
              <w:rPr>
                <w:b/>
                <w:bCs/>
              </w:rPr>
              <w:t>7</w:t>
            </w:r>
          </w:p>
        </w:tc>
      </w:tr>
      <w:tr w:rsidR="002C11F7" w14:paraId="29FAD602" w14:textId="77777777" w:rsidTr="00582737">
        <w:tc>
          <w:tcPr>
            <w:tcW w:w="984" w:type="pct"/>
            <w:vMerge/>
          </w:tcPr>
          <w:p w14:paraId="370C0AC5" w14:textId="77777777" w:rsidR="00D03CB5" w:rsidRDefault="00D03CB5" w:rsidP="00C41A3E"/>
        </w:tc>
        <w:tc>
          <w:tcPr>
            <w:tcW w:w="410" w:type="pct"/>
            <w:vMerge/>
          </w:tcPr>
          <w:p w14:paraId="6405EB00" w14:textId="77777777" w:rsidR="00D03CB5" w:rsidRDefault="00D03CB5" w:rsidP="00C41A3E"/>
        </w:tc>
        <w:tc>
          <w:tcPr>
            <w:tcW w:w="2957" w:type="pct"/>
          </w:tcPr>
          <w:p w14:paraId="52154B1F" w14:textId="71EC5B4D" w:rsidR="00D03CB5" w:rsidRDefault="00D03CB5" w:rsidP="00D03CB5">
            <w:pPr>
              <w:pStyle w:val="ListParagraph"/>
              <w:numPr>
                <w:ilvl w:val="0"/>
                <w:numId w:val="2"/>
              </w:numPr>
            </w:pPr>
            <w:r>
              <w:t>Where: Description of the type(s) of location(s) where the intervention occurred, including any necessary infrastructure or relevant features</w:t>
            </w:r>
          </w:p>
        </w:tc>
        <w:tc>
          <w:tcPr>
            <w:tcW w:w="648" w:type="pct"/>
            <w:vAlign w:val="center"/>
          </w:tcPr>
          <w:p w14:paraId="15EFC23A" w14:textId="298F1E61" w:rsidR="00D03CB5" w:rsidRPr="000B7EBA" w:rsidRDefault="00756CA1" w:rsidP="000B7EBA">
            <w:pPr>
              <w:jc w:val="center"/>
              <w:rPr>
                <w:b/>
                <w:bCs/>
              </w:rPr>
            </w:pPr>
            <w:r>
              <w:rPr>
                <w:b/>
                <w:bCs/>
              </w:rPr>
              <w:t>7</w:t>
            </w:r>
          </w:p>
        </w:tc>
      </w:tr>
      <w:tr w:rsidR="002C11F7" w14:paraId="07A90149" w14:textId="77777777" w:rsidTr="00582737">
        <w:tc>
          <w:tcPr>
            <w:tcW w:w="984" w:type="pct"/>
            <w:vMerge/>
          </w:tcPr>
          <w:p w14:paraId="16F0C147" w14:textId="77777777" w:rsidR="00D03CB5" w:rsidRDefault="00D03CB5" w:rsidP="00C41A3E"/>
        </w:tc>
        <w:tc>
          <w:tcPr>
            <w:tcW w:w="410" w:type="pct"/>
            <w:vMerge/>
          </w:tcPr>
          <w:p w14:paraId="2D337D43" w14:textId="77777777" w:rsidR="00D03CB5" w:rsidRDefault="00D03CB5" w:rsidP="00C41A3E"/>
        </w:tc>
        <w:tc>
          <w:tcPr>
            <w:tcW w:w="2957" w:type="pct"/>
          </w:tcPr>
          <w:p w14:paraId="2B593D39" w14:textId="4D9A5D20" w:rsidR="00D03CB5" w:rsidRDefault="00D03CB5" w:rsidP="00D03CB5">
            <w:pPr>
              <w:pStyle w:val="ListParagraph"/>
              <w:numPr>
                <w:ilvl w:val="0"/>
                <w:numId w:val="2"/>
              </w:numPr>
            </w:pPr>
            <w:r>
              <w:t xml:space="preserve">When: Description of when the intervention was first announced, </w:t>
            </w:r>
            <w:proofErr w:type="gramStart"/>
            <w:r>
              <w:t>marketed</w:t>
            </w:r>
            <w:proofErr w:type="gramEnd"/>
            <w:r>
              <w:t xml:space="preserve"> and delivered, the number of times it was delivered and the duration. Did all groups receive the intervention at the same time</w:t>
            </w:r>
          </w:p>
        </w:tc>
        <w:tc>
          <w:tcPr>
            <w:tcW w:w="648" w:type="pct"/>
            <w:vAlign w:val="center"/>
          </w:tcPr>
          <w:p w14:paraId="198E6AEF" w14:textId="2DF4DB93" w:rsidR="00D03CB5" w:rsidRPr="000B7EBA" w:rsidRDefault="00756CA1" w:rsidP="000B7EBA">
            <w:pPr>
              <w:jc w:val="center"/>
              <w:rPr>
                <w:b/>
                <w:bCs/>
              </w:rPr>
            </w:pPr>
            <w:r>
              <w:rPr>
                <w:b/>
                <w:bCs/>
              </w:rPr>
              <w:t>7</w:t>
            </w:r>
          </w:p>
        </w:tc>
      </w:tr>
      <w:tr w:rsidR="002C11F7" w14:paraId="54998749" w14:textId="77777777" w:rsidTr="00582737">
        <w:tc>
          <w:tcPr>
            <w:tcW w:w="984" w:type="pct"/>
            <w:vMerge/>
          </w:tcPr>
          <w:p w14:paraId="79A2F24E" w14:textId="77777777" w:rsidR="00D03CB5" w:rsidRDefault="00D03CB5" w:rsidP="00C41A3E"/>
        </w:tc>
        <w:tc>
          <w:tcPr>
            <w:tcW w:w="410" w:type="pct"/>
            <w:vMerge/>
          </w:tcPr>
          <w:p w14:paraId="7B36A1A7" w14:textId="77777777" w:rsidR="00D03CB5" w:rsidRDefault="00D03CB5" w:rsidP="00C41A3E"/>
        </w:tc>
        <w:tc>
          <w:tcPr>
            <w:tcW w:w="2957" w:type="pct"/>
          </w:tcPr>
          <w:p w14:paraId="79E485AA" w14:textId="03D94ED3" w:rsidR="00D03CB5" w:rsidRDefault="00D03CB5" w:rsidP="00D03CB5">
            <w:pPr>
              <w:pStyle w:val="ListParagraph"/>
              <w:numPr>
                <w:ilvl w:val="0"/>
                <w:numId w:val="2"/>
              </w:numPr>
            </w:pPr>
            <w:r>
              <w:t xml:space="preserve">Tailoring and modifications: Description of any adaptations or modifications to the intervention </w:t>
            </w:r>
            <w:proofErr w:type="gramStart"/>
            <w:r>
              <w:t>during the course of</w:t>
            </w:r>
            <w:proofErr w:type="gramEnd"/>
            <w:r>
              <w:t xml:space="preserve"> the study</w:t>
            </w:r>
          </w:p>
        </w:tc>
        <w:tc>
          <w:tcPr>
            <w:tcW w:w="648" w:type="pct"/>
            <w:vAlign w:val="center"/>
          </w:tcPr>
          <w:p w14:paraId="4EE8D0A7" w14:textId="557F7A5A" w:rsidR="00D03CB5" w:rsidRPr="000B7EBA" w:rsidRDefault="001304D0" w:rsidP="000B7EBA">
            <w:pPr>
              <w:jc w:val="center"/>
              <w:rPr>
                <w:b/>
                <w:bCs/>
              </w:rPr>
            </w:pPr>
            <w:r>
              <w:rPr>
                <w:b/>
                <w:bCs/>
              </w:rPr>
              <w:t>7</w:t>
            </w:r>
          </w:p>
        </w:tc>
      </w:tr>
      <w:tr w:rsidR="002C11F7" w14:paraId="51D408EA" w14:textId="77777777" w:rsidTr="00582737">
        <w:tc>
          <w:tcPr>
            <w:tcW w:w="984" w:type="pct"/>
            <w:vMerge/>
          </w:tcPr>
          <w:p w14:paraId="20E7D596" w14:textId="77777777" w:rsidR="00D03CB5" w:rsidRDefault="00D03CB5" w:rsidP="00C41A3E"/>
        </w:tc>
        <w:tc>
          <w:tcPr>
            <w:tcW w:w="410" w:type="pct"/>
            <w:vMerge/>
          </w:tcPr>
          <w:p w14:paraId="78F99BB4" w14:textId="77777777" w:rsidR="00D03CB5" w:rsidRDefault="00D03CB5" w:rsidP="00C41A3E"/>
        </w:tc>
        <w:tc>
          <w:tcPr>
            <w:tcW w:w="2957" w:type="pct"/>
          </w:tcPr>
          <w:p w14:paraId="1AD73BC8" w14:textId="4EB5EA4B" w:rsidR="00D03CB5" w:rsidRDefault="00D03CB5" w:rsidP="00D03CB5">
            <w:pPr>
              <w:pStyle w:val="ListParagraph"/>
              <w:numPr>
                <w:ilvl w:val="0"/>
                <w:numId w:val="2"/>
              </w:numPr>
            </w:pPr>
            <w:r>
              <w:t>Adherence: Report on whether the intervention was compulsory, whether adherence was assessed and any activities to increase compliance or adherence</w:t>
            </w:r>
          </w:p>
        </w:tc>
        <w:tc>
          <w:tcPr>
            <w:tcW w:w="648" w:type="pct"/>
            <w:vAlign w:val="center"/>
          </w:tcPr>
          <w:p w14:paraId="4E1D3701" w14:textId="24203918" w:rsidR="00D03CB5" w:rsidRPr="000B7EBA" w:rsidRDefault="001304D0" w:rsidP="000B7EBA">
            <w:pPr>
              <w:jc w:val="center"/>
              <w:rPr>
                <w:b/>
                <w:bCs/>
              </w:rPr>
            </w:pPr>
            <w:r>
              <w:rPr>
                <w:b/>
                <w:bCs/>
              </w:rPr>
              <w:t>7</w:t>
            </w:r>
          </w:p>
        </w:tc>
      </w:tr>
      <w:tr w:rsidR="002C11F7" w14:paraId="7D878805" w14:textId="77777777" w:rsidTr="00582737">
        <w:tc>
          <w:tcPr>
            <w:tcW w:w="984" w:type="pct"/>
            <w:vMerge w:val="restart"/>
          </w:tcPr>
          <w:p w14:paraId="4E66D3E5" w14:textId="714400D0" w:rsidR="00BD4635" w:rsidRDefault="00BD4635" w:rsidP="00C41A3E">
            <w:r>
              <w:t>Outcomes</w:t>
            </w:r>
          </w:p>
        </w:tc>
        <w:tc>
          <w:tcPr>
            <w:tcW w:w="410" w:type="pct"/>
            <w:vMerge w:val="restart"/>
          </w:tcPr>
          <w:p w14:paraId="59DBDEB1" w14:textId="58E017AF" w:rsidR="00BD4635" w:rsidRDefault="00BD4635" w:rsidP="00C86533">
            <w:pPr>
              <w:jc w:val="center"/>
            </w:pPr>
            <w:r>
              <w:t>7</w:t>
            </w:r>
          </w:p>
        </w:tc>
        <w:tc>
          <w:tcPr>
            <w:tcW w:w="2957" w:type="pct"/>
          </w:tcPr>
          <w:p w14:paraId="62FB18B8" w14:textId="3FFFF3F9" w:rsidR="00BD4635" w:rsidRDefault="00987FC7" w:rsidP="00C41A3E">
            <w:r>
              <w:t>Clearly defined outcome measures</w:t>
            </w:r>
          </w:p>
        </w:tc>
        <w:tc>
          <w:tcPr>
            <w:tcW w:w="648" w:type="pct"/>
            <w:vAlign w:val="center"/>
          </w:tcPr>
          <w:p w14:paraId="55F044AD" w14:textId="6D1A010D" w:rsidR="00BD4635" w:rsidRPr="000B7EBA" w:rsidRDefault="004725C1" w:rsidP="000B7EBA">
            <w:pPr>
              <w:jc w:val="center"/>
              <w:rPr>
                <w:b/>
                <w:bCs/>
              </w:rPr>
            </w:pPr>
            <w:r>
              <w:rPr>
                <w:b/>
                <w:bCs/>
              </w:rPr>
              <w:t>8</w:t>
            </w:r>
          </w:p>
        </w:tc>
      </w:tr>
      <w:tr w:rsidR="002C11F7" w14:paraId="7C9C4F49" w14:textId="77777777" w:rsidTr="00582737">
        <w:tc>
          <w:tcPr>
            <w:tcW w:w="984" w:type="pct"/>
            <w:vMerge/>
          </w:tcPr>
          <w:p w14:paraId="537A2C97" w14:textId="77777777" w:rsidR="00BD4635" w:rsidRDefault="00BD4635" w:rsidP="00C41A3E"/>
        </w:tc>
        <w:tc>
          <w:tcPr>
            <w:tcW w:w="410" w:type="pct"/>
            <w:vMerge/>
          </w:tcPr>
          <w:p w14:paraId="110D719A" w14:textId="77777777" w:rsidR="00BD4635" w:rsidRDefault="00BD4635" w:rsidP="00C41A3E"/>
        </w:tc>
        <w:tc>
          <w:tcPr>
            <w:tcW w:w="2957" w:type="pct"/>
          </w:tcPr>
          <w:p w14:paraId="4BCBE521" w14:textId="72512038" w:rsidR="00BD4635" w:rsidRDefault="00987FC7" w:rsidP="00987FC7">
            <w:r>
              <w:t>Data source(s)</w:t>
            </w:r>
          </w:p>
        </w:tc>
        <w:tc>
          <w:tcPr>
            <w:tcW w:w="648" w:type="pct"/>
            <w:vAlign w:val="center"/>
          </w:tcPr>
          <w:p w14:paraId="68220810" w14:textId="3C295CE9" w:rsidR="00BD4635" w:rsidRPr="000B7EBA" w:rsidRDefault="004725C1" w:rsidP="000B7EBA">
            <w:pPr>
              <w:jc w:val="center"/>
              <w:rPr>
                <w:b/>
                <w:bCs/>
              </w:rPr>
            </w:pPr>
            <w:r>
              <w:rPr>
                <w:b/>
                <w:bCs/>
              </w:rPr>
              <w:t>6</w:t>
            </w:r>
          </w:p>
        </w:tc>
      </w:tr>
      <w:tr w:rsidR="002C11F7" w14:paraId="6029E052" w14:textId="77777777" w:rsidTr="00582737">
        <w:tc>
          <w:tcPr>
            <w:tcW w:w="984" w:type="pct"/>
            <w:vMerge/>
          </w:tcPr>
          <w:p w14:paraId="139A9EEE" w14:textId="77777777" w:rsidR="00BD4635" w:rsidRDefault="00BD4635" w:rsidP="00C41A3E"/>
        </w:tc>
        <w:tc>
          <w:tcPr>
            <w:tcW w:w="410" w:type="pct"/>
            <w:vMerge/>
          </w:tcPr>
          <w:p w14:paraId="2DCFCA3B" w14:textId="77777777" w:rsidR="00BD4635" w:rsidRDefault="00BD4635" w:rsidP="00C41A3E"/>
        </w:tc>
        <w:tc>
          <w:tcPr>
            <w:tcW w:w="2957" w:type="pct"/>
          </w:tcPr>
          <w:p w14:paraId="178E1500" w14:textId="3FAFF235" w:rsidR="00BD4635" w:rsidRDefault="00777372" w:rsidP="00C41A3E">
            <w:r>
              <w:t xml:space="preserve">Methods used to collect, process, </w:t>
            </w:r>
            <w:proofErr w:type="gramStart"/>
            <w:r>
              <w:t>record</w:t>
            </w:r>
            <w:proofErr w:type="gramEnd"/>
            <w:r>
              <w:t xml:space="preserve"> and extract data; any changes in data collection, processing or recording over time</w:t>
            </w:r>
          </w:p>
        </w:tc>
        <w:tc>
          <w:tcPr>
            <w:tcW w:w="648" w:type="pct"/>
            <w:vAlign w:val="center"/>
          </w:tcPr>
          <w:p w14:paraId="40C85321" w14:textId="3D87B002" w:rsidR="00BD4635" w:rsidRPr="000B7EBA" w:rsidRDefault="005E04AC" w:rsidP="000B7EBA">
            <w:pPr>
              <w:jc w:val="center"/>
              <w:rPr>
                <w:b/>
                <w:bCs/>
              </w:rPr>
            </w:pPr>
            <w:r>
              <w:rPr>
                <w:b/>
                <w:bCs/>
              </w:rPr>
              <w:t>6</w:t>
            </w:r>
          </w:p>
        </w:tc>
      </w:tr>
      <w:tr w:rsidR="002C11F7" w14:paraId="37F2E561" w14:textId="77777777" w:rsidTr="00582737">
        <w:tc>
          <w:tcPr>
            <w:tcW w:w="984" w:type="pct"/>
            <w:vMerge/>
          </w:tcPr>
          <w:p w14:paraId="418F80A2" w14:textId="77777777" w:rsidR="00BD4635" w:rsidRDefault="00BD4635" w:rsidP="00C41A3E"/>
        </w:tc>
        <w:tc>
          <w:tcPr>
            <w:tcW w:w="410" w:type="pct"/>
            <w:vMerge/>
          </w:tcPr>
          <w:p w14:paraId="39468E55" w14:textId="77777777" w:rsidR="00BD4635" w:rsidRDefault="00BD4635" w:rsidP="00C41A3E"/>
        </w:tc>
        <w:tc>
          <w:tcPr>
            <w:tcW w:w="2957" w:type="pct"/>
          </w:tcPr>
          <w:p w14:paraId="62CF37A8" w14:textId="6AD56B5F" w:rsidR="00BD4635" w:rsidRDefault="00777372" w:rsidP="00C41A3E">
            <w:r>
              <w:t>Information on validity and reliability of outcome measures</w:t>
            </w:r>
          </w:p>
        </w:tc>
        <w:tc>
          <w:tcPr>
            <w:tcW w:w="648" w:type="pct"/>
            <w:vAlign w:val="center"/>
          </w:tcPr>
          <w:p w14:paraId="42970DA2" w14:textId="6E103D72" w:rsidR="00BD4635" w:rsidRPr="000B7EBA" w:rsidRDefault="00A937F4" w:rsidP="000B7EBA">
            <w:pPr>
              <w:jc w:val="center"/>
              <w:rPr>
                <w:b/>
                <w:bCs/>
              </w:rPr>
            </w:pPr>
            <w:r>
              <w:rPr>
                <w:b/>
                <w:bCs/>
              </w:rPr>
              <w:t>6</w:t>
            </w:r>
            <w:r w:rsidR="00714665">
              <w:rPr>
                <w:b/>
                <w:bCs/>
              </w:rPr>
              <w:t>&amp;8</w:t>
            </w:r>
          </w:p>
        </w:tc>
      </w:tr>
      <w:tr w:rsidR="002C11F7" w14:paraId="74F2A929" w14:textId="77777777" w:rsidTr="00582737">
        <w:tc>
          <w:tcPr>
            <w:tcW w:w="984" w:type="pct"/>
            <w:vMerge/>
          </w:tcPr>
          <w:p w14:paraId="7C5698CB" w14:textId="77777777" w:rsidR="00BD4635" w:rsidRDefault="00BD4635" w:rsidP="00C41A3E"/>
        </w:tc>
        <w:tc>
          <w:tcPr>
            <w:tcW w:w="410" w:type="pct"/>
            <w:vMerge/>
          </w:tcPr>
          <w:p w14:paraId="2130ACCB" w14:textId="77777777" w:rsidR="00BD4635" w:rsidRDefault="00BD4635" w:rsidP="00C41A3E"/>
        </w:tc>
        <w:tc>
          <w:tcPr>
            <w:tcW w:w="2957" w:type="pct"/>
          </w:tcPr>
          <w:p w14:paraId="6361A3C3" w14:textId="5F8DF28C" w:rsidR="00BD4635" w:rsidRDefault="00777372" w:rsidP="00C41A3E">
            <w:r>
              <w:t xml:space="preserve">Information on data quality, </w:t>
            </w:r>
            <w:proofErr w:type="gramStart"/>
            <w:r>
              <w:t>coverage</w:t>
            </w:r>
            <w:proofErr w:type="gramEnd"/>
            <w:r>
              <w:t xml:space="preserve"> and completeness over the duration of the study period; any changes in quality, coverage or completeness over time</w:t>
            </w:r>
          </w:p>
        </w:tc>
        <w:tc>
          <w:tcPr>
            <w:tcW w:w="648" w:type="pct"/>
            <w:vAlign w:val="center"/>
          </w:tcPr>
          <w:p w14:paraId="33D45CA3" w14:textId="572FA2C3" w:rsidR="00BD4635" w:rsidRPr="000B7EBA" w:rsidRDefault="00AF7318" w:rsidP="000B7EBA">
            <w:pPr>
              <w:jc w:val="center"/>
              <w:rPr>
                <w:b/>
                <w:bCs/>
              </w:rPr>
            </w:pPr>
            <w:r>
              <w:rPr>
                <w:b/>
                <w:bCs/>
              </w:rPr>
              <w:t>6&amp;</w:t>
            </w:r>
            <w:r w:rsidR="00714665">
              <w:rPr>
                <w:b/>
                <w:bCs/>
              </w:rPr>
              <w:t>8</w:t>
            </w:r>
          </w:p>
        </w:tc>
      </w:tr>
      <w:tr w:rsidR="002C11F7" w14:paraId="50EC21B8" w14:textId="77777777" w:rsidTr="00582737">
        <w:tc>
          <w:tcPr>
            <w:tcW w:w="984" w:type="pct"/>
            <w:vMerge w:val="restart"/>
          </w:tcPr>
          <w:p w14:paraId="1C5082D5" w14:textId="5D467CA7" w:rsidR="005D0654" w:rsidRDefault="005D0654" w:rsidP="00C41A3E">
            <w:r>
              <w:t>History Bias</w:t>
            </w:r>
          </w:p>
        </w:tc>
        <w:tc>
          <w:tcPr>
            <w:tcW w:w="410" w:type="pct"/>
            <w:vMerge w:val="restart"/>
          </w:tcPr>
          <w:p w14:paraId="57B7DF72" w14:textId="5A5C18BB" w:rsidR="005D0654" w:rsidRDefault="005D0654" w:rsidP="00C86533">
            <w:pPr>
              <w:jc w:val="center"/>
            </w:pPr>
            <w:r>
              <w:t>8</w:t>
            </w:r>
          </w:p>
        </w:tc>
        <w:tc>
          <w:tcPr>
            <w:tcW w:w="2957" w:type="pct"/>
          </w:tcPr>
          <w:p w14:paraId="44040FDA" w14:textId="45942999" w:rsidR="005D0654" w:rsidRDefault="005D0654" w:rsidP="00C41A3E">
            <w:r>
              <w:t>Identification of co-interventions or other concurrent events that might affect the outcome; if no such events exist, clear statement that the intervention was independent of other changes</w:t>
            </w:r>
          </w:p>
        </w:tc>
        <w:tc>
          <w:tcPr>
            <w:tcW w:w="648" w:type="pct"/>
            <w:vAlign w:val="center"/>
          </w:tcPr>
          <w:p w14:paraId="6AE0E633" w14:textId="692AE371" w:rsidR="005D0654" w:rsidRPr="000B7EBA" w:rsidRDefault="001D5BAE" w:rsidP="000B7EBA">
            <w:pPr>
              <w:jc w:val="center"/>
              <w:rPr>
                <w:b/>
                <w:bCs/>
              </w:rPr>
            </w:pPr>
            <w:r>
              <w:rPr>
                <w:b/>
                <w:bCs/>
              </w:rPr>
              <w:t>7</w:t>
            </w:r>
          </w:p>
        </w:tc>
      </w:tr>
      <w:tr w:rsidR="002C11F7" w14:paraId="00B7CC3D" w14:textId="77777777" w:rsidTr="00582737">
        <w:tc>
          <w:tcPr>
            <w:tcW w:w="984" w:type="pct"/>
            <w:vMerge/>
          </w:tcPr>
          <w:p w14:paraId="0DD67EF7" w14:textId="77777777" w:rsidR="005D0654" w:rsidRDefault="005D0654" w:rsidP="00C41A3E"/>
        </w:tc>
        <w:tc>
          <w:tcPr>
            <w:tcW w:w="410" w:type="pct"/>
            <w:vMerge/>
          </w:tcPr>
          <w:p w14:paraId="78D18B84" w14:textId="77777777" w:rsidR="005D0654" w:rsidRDefault="005D0654" w:rsidP="00C41A3E"/>
        </w:tc>
        <w:tc>
          <w:tcPr>
            <w:tcW w:w="2957" w:type="pct"/>
          </w:tcPr>
          <w:p w14:paraId="19E2333A" w14:textId="7689AB30" w:rsidR="005D0654" w:rsidRDefault="005D0654" w:rsidP="00C41A3E">
            <w:r>
              <w:t xml:space="preserve">Description of design adaptations to mitigate the risk of history bias </w:t>
            </w:r>
            <w:proofErr w:type="spellStart"/>
            <w:r>
              <w:t>e.g</w:t>
            </w:r>
            <w:proofErr w:type="spellEnd"/>
            <w:r>
              <w:t>: adding a control series, using multiple phases or a using a multiple baseline design</w:t>
            </w:r>
          </w:p>
        </w:tc>
        <w:tc>
          <w:tcPr>
            <w:tcW w:w="648" w:type="pct"/>
            <w:vAlign w:val="center"/>
          </w:tcPr>
          <w:p w14:paraId="15D3FDAE" w14:textId="5C3273DD" w:rsidR="005D0654" w:rsidRPr="000B7EBA" w:rsidRDefault="009E3C67" w:rsidP="000B7EBA">
            <w:pPr>
              <w:jc w:val="center"/>
              <w:rPr>
                <w:b/>
                <w:bCs/>
              </w:rPr>
            </w:pPr>
            <w:r>
              <w:rPr>
                <w:b/>
                <w:bCs/>
              </w:rPr>
              <w:t>7</w:t>
            </w:r>
          </w:p>
        </w:tc>
      </w:tr>
      <w:tr w:rsidR="002C11F7" w14:paraId="6578EC79" w14:textId="77777777" w:rsidTr="00582737">
        <w:tc>
          <w:tcPr>
            <w:tcW w:w="984" w:type="pct"/>
          </w:tcPr>
          <w:p w14:paraId="2622F357" w14:textId="659CE631" w:rsidR="00B80F68" w:rsidRDefault="008A6423" w:rsidP="00C41A3E">
            <w:r>
              <w:t>Unit of Analysis</w:t>
            </w:r>
          </w:p>
        </w:tc>
        <w:tc>
          <w:tcPr>
            <w:tcW w:w="410" w:type="pct"/>
          </w:tcPr>
          <w:p w14:paraId="25DE0668" w14:textId="4F37D85E" w:rsidR="00B80F68" w:rsidRDefault="008A6423" w:rsidP="00C86533">
            <w:pPr>
              <w:jc w:val="center"/>
            </w:pPr>
            <w:r>
              <w:t>9</w:t>
            </w:r>
          </w:p>
        </w:tc>
        <w:tc>
          <w:tcPr>
            <w:tcW w:w="2957" w:type="pct"/>
          </w:tcPr>
          <w:p w14:paraId="51A892CB" w14:textId="76583B76" w:rsidR="00B80F68" w:rsidRDefault="00B71F6F" w:rsidP="00C41A3E">
            <w:r>
              <w:t>Description of the smallest unit that is being analysed to assess intervention effects (e.g., individual, group, or community)</w:t>
            </w:r>
          </w:p>
        </w:tc>
        <w:tc>
          <w:tcPr>
            <w:tcW w:w="648" w:type="pct"/>
            <w:vAlign w:val="center"/>
          </w:tcPr>
          <w:p w14:paraId="4B14511F" w14:textId="24332BF3" w:rsidR="00B80F68" w:rsidRPr="000B7EBA" w:rsidRDefault="00E74377" w:rsidP="000B7EBA">
            <w:pPr>
              <w:jc w:val="center"/>
              <w:rPr>
                <w:b/>
                <w:bCs/>
              </w:rPr>
            </w:pPr>
            <w:r>
              <w:rPr>
                <w:b/>
                <w:bCs/>
              </w:rPr>
              <w:t>8</w:t>
            </w:r>
          </w:p>
        </w:tc>
      </w:tr>
      <w:tr w:rsidR="002C11F7" w14:paraId="75E9C363" w14:textId="77777777" w:rsidTr="00582737">
        <w:tc>
          <w:tcPr>
            <w:tcW w:w="984" w:type="pct"/>
            <w:vMerge w:val="restart"/>
          </w:tcPr>
          <w:p w14:paraId="6B14D278" w14:textId="0C651E3D" w:rsidR="00733622" w:rsidRDefault="00733622" w:rsidP="00D43D2A">
            <w:r>
              <w:t>Statistical Analysis</w:t>
            </w:r>
          </w:p>
        </w:tc>
        <w:tc>
          <w:tcPr>
            <w:tcW w:w="410" w:type="pct"/>
            <w:vMerge w:val="restart"/>
          </w:tcPr>
          <w:p w14:paraId="18DB30BE" w14:textId="48247217" w:rsidR="00733622" w:rsidRDefault="00733622" w:rsidP="00C86533">
            <w:pPr>
              <w:jc w:val="center"/>
            </w:pPr>
            <w:r>
              <w:t>10</w:t>
            </w:r>
          </w:p>
        </w:tc>
        <w:tc>
          <w:tcPr>
            <w:tcW w:w="2957" w:type="pct"/>
          </w:tcPr>
          <w:p w14:paraId="2BE9B946" w14:textId="6A44E2DD" w:rsidR="00733622" w:rsidRDefault="001B0A72" w:rsidP="00C41A3E">
            <w:r>
              <w:t>Statistical methods used (</w:t>
            </w:r>
            <w:proofErr w:type="gramStart"/>
            <w:r>
              <w:t>e.g.</w:t>
            </w:r>
            <w:proofErr w:type="gramEnd"/>
            <w:r>
              <w:t xml:space="preserve"> segmented Poisson regression, ARIMA etc)</w:t>
            </w:r>
          </w:p>
        </w:tc>
        <w:tc>
          <w:tcPr>
            <w:tcW w:w="648" w:type="pct"/>
            <w:vAlign w:val="center"/>
          </w:tcPr>
          <w:p w14:paraId="40757A83" w14:textId="01191BAA" w:rsidR="00733622" w:rsidRPr="000B7EBA" w:rsidRDefault="00503BAE" w:rsidP="000B7EBA">
            <w:pPr>
              <w:jc w:val="center"/>
              <w:rPr>
                <w:b/>
                <w:bCs/>
              </w:rPr>
            </w:pPr>
            <w:r>
              <w:rPr>
                <w:b/>
                <w:bCs/>
              </w:rPr>
              <w:t>8</w:t>
            </w:r>
          </w:p>
        </w:tc>
      </w:tr>
      <w:tr w:rsidR="002C11F7" w14:paraId="62E8E660" w14:textId="77777777" w:rsidTr="00582737">
        <w:tc>
          <w:tcPr>
            <w:tcW w:w="984" w:type="pct"/>
            <w:vMerge/>
          </w:tcPr>
          <w:p w14:paraId="23F997F7" w14:textId="77777777" w:rsidR="00733622" w:rsidRDefault="00733622" w:rsidP="00C41A3E"/>
        </w:tc>
        <w:tc>
          <w:tcPr>
            <w:tcW w:w="410" w:type="pct"/>
            <w:vMerge/>
          </w:tcPr>
          <w:p w14:paraId="3947A0E5" w14:textId="77777777" w:rsidR="00733622" w:rsidRDefault="00733622" w:rsidP="00C41A3E"/>
        </w:tc>
        <w:tc>
          <w:tcPr>
            <w:tcW w:w="2957" w:type="pct"/>
          </w:tcPr>
          <w:p w14:paraId="0BF43395" w14:textId="327F6F4F" w:rsidR="00733622" w:rsidRDefault="001B0A72" w:rsidP="00C41A3E">
            <w:r>
              <w:t>Appropriateness of a linear model, including description of any tests for linearity and any non-linear terms included</w:t>
            </w:r>
          </w:p>
        </w:tc>
        <w:tc>
          <w:tcPr>
            <w:tcW w:w="648" w:type="pct"/>
            <w:vAlign w:val="center"/>
          </w:tcPr>
          <w:p w14:paraId="326B8C0F" w14:textId="71A903FF" w:rsidR="00733622" w:rsidRPr="000B7EBA" w:rsidRDefault="00456D53" w:rsidP="000B7EBA">
            <w:pPr>
              <w:jc w:val="center"/>
              <w:rPr>
                <w:b/>
                <w:bCs/>
              </w:rPr>
            </w:pPr>
            <w:r>
              <w:rPr>
                <w:b/>
                <w:bCs/>
              </w:rPr>
              <w:t>8</w:t>
            </w:r>
          </w:p>
        </w:tc>
      </w:tr>
      <w:tr w:rsidR="002C11F7" w14:paraId="3DF76022" w14:textId="77777777" w:rsidTr="00582737">
        <w:tc>
          <w:tcPr>
            <w:tcW w:w="984" w:type="pct"/>
            <w:vMerge/>
          </w:tcPr>
          <w:p w14:paraId="1BDAE34B" w14:textId="77777777" w:rsidR="00733622" w:rsidRDefault="00733622" w:rsidP="00C41A3E"/>
        </w:tc>
        <w:tc>
          <w:tcPr>
            <w:tcW w:w="410" w:type="pct"/>
            <w:vMerge/>
          </w:tcPr>
          <w:p w14:paraId="374E75BC" w14:textId="77777777" w:rsidR="00733622" w:rsidRDefault="00733622" w:rsidP="00C41A3E"/>
        </w:tc>
        <w:tc>
          <w:tcPr>
            <w:tcW w:w="2957" w:type="pct"/>
          </w:tcPr>
          <w:p w14:paraId="58077DB2" w14:textId="5EB0114B" w:rsidR="00733622" w:rsidRDefault="0022505A" w:rsidP="00C41A3E">
            <w:r>
              <w:t xml:space="preserve">Detailed description of the a priori impact model and why this was chosen, including allowance for: step or slope change effects, lagged effects, transition phase, </w:t>
            </w:r>
            <w:proofErr w:type="gramStart"/>
            <w:r>
              <w:t>floor</w:t>
            </w:r>
            <w:proofErr w:type="gramEnd"/>
            <w:r>
              <w:t xml:space="preserve"> or ceiling effects. Describe why this model is appropriate for the intervention and outcome under study</w:t>
            </w:r>
          </w:p>
        </w:tc>
        <w:tc>
          <w:tcPr>
            <w:tcW w:w="648" w:type="pct"/>
            <w:vAlign w:val="center"/>
          </w:tcPr>
          <w:p w14:paraId="326DEBAF" w14:textId="6B8C95EC" w:rsidR="00733622" w:rsidRPr="000B7EBA" w:rsidRDefault="00841C0A" w:rsidP="000B7EBA">
            <w:pPr>
              <w:jc w:val="center"/>
              <w:rPr>
                <w:b/>
                <w:bCs/>
              </w:rPr>
            </w:pPr>
            <w:r>
              <w:rPr>
                <w:b/>
                <w:bCs/>
              </w:rPr>
              <w:t>9</w:t>
            </w:r>
          </w:p>
        </w:tc>
      </w:tr>
      <w:tr w:rsidR="002C11F7" w14:paraId="200AFF95" w14:textId="77777777" w:rsidTr="00582737">
        <w:tc>
          <w:tcPr>
            <w:tcW w:w="984" w:type="pct"/>
            <w:vMerge/>
          </w:tcPr>
          <w:p w14:paraId="562FBDBC" w14:textId="77777777" w:rsidR="00733622" w:rsidRDefault="00733622" w:rsidP="00C41A3E"/>
        </w:tc>
        <w:tc>
          <w:tcPr>
            <w:tcW w:w="410" w:type="pct"/>
            <w:vMerge/>
          </w:tcPr>
          <w:p w14:paraId="008EB6C8" w14:textId="77777777" w:rsidR="00733622" w:rsidRDefault="00733622" w:rsidP="00C41A3E"/>
        </w:tc>
        <w:tc>
          <w:tcPr>
            <w:tcW w:w="2957" w:type="pct"/>
          </w:tcPr>
          <w:p w14:paraId="7E06D631" w14:textId="6DF34F16" w:rsidR="00733622" w:rsidRDefault="00C3309B" w:rsidP="00C41A3E">
            <w:r>
              <w:t>Adjustments for time varying confounders (including seasonality)</w:t>
            </w:r>
          </w:p>
        </w:tc>
        <w:tc>
          <w:tcPr>
            <w:tcW w:w="648" w:type="pct"/>
            <w:vAlign w:val="center"/>
          </w:tcPr>
          <w:p w14:paraId="67541733" w14:textId="4BCE28EA" w:rsidR="00733622" w:rsidRPr="000B7EBA" w:rsidRDefault="008B1D1F" w:rsidP="000B7EBA">
            <w:pPr>
              <w:jc w:val="center"/>
              <w:rPr>
                <w:b/>
                <w:bCs/>
              </w:rPr>
            </w:pPr>
            <w:r>
              <w:rPr>
                <w:b/>
                <w:bCs/>
              </w:rPr>
              <w:t>n/a</w:t>
            </w:r>
          </w:p>
        </w:tc>
      </w:tr>
      <w:tr w:rsidR="002C11F7" w14:paraId="56A58350" w14:textId="77777777" w:rsidTr="00582737">
        <w:tc>
          <w:tcPr>
            <w:tcW w:w="984" w:type="pct"/>
            <w:vMerge/>
          </w:tcPr>
          <w:p w14:paraId="60FBBADD" w14:textId="77777777" w:rsidR="00733622" w:rsidRDefault="00733622" w:rsidP="00C41A3E"/>
        </w:tc>
        <w:tc>
          <w:tcPr>
            <w:tcW w:w="410" w:type="pct"/>
            <w:vMerge/>
          </w:tcPr>
          <w:p w14:paraId="343C91EB" w14:textId="77777777" w:rsidR="00733622" w:rsidRDefault="00733622" w:rsidP="00C41A3E"/>
        </w:tc>
        <w:tc>
          <w:tcPr>
            <w:tcW w:w="2957" w:type="pct"/>
          </w:tcPr>
          <w:p w14:paraId="12B6B1DA" w14:textId="74761787" w:rsidR="00733622" w:rsidRDefault="00C3309B" w:rsidP="00C41A3E">
            <w:r>
              <w:t>Assessment of autocorrelation and how this was handled</w:t>
            </w:r>
          </w:p>
        </w:tc>
        <w:tc>
          <w:tcPr>
            <w:tcW w:w="648" w:type="pct"/>
            <w:vAlign w:val="center"/>
          </w:tcPr>
          <w:p w14:paraId="05D1A4A2" w14:textId="52DC303D" w:rsidR="00733622" w:rsidRPr="000B7EBA" w:rsidRDefault="00233EB7" w:rsidP="000B7EBA">
            <w:pPr>
              <w:jc w:val="center"/>
              <w:rPr>
                <w:b/>
                <w:bCs/>
              </w:rPr>
            </w:pPr>
            <w:r>
              <w:rPr>
                <w:b/>
                <w:bCs/>
              </w:rPr>
              <w:t>9</w:t>
            </w:r>
            <w:r w:rsidR="001925D5">
              <w:rPr>
                <w:b/>
                <w:bCs/>
              </w:rPr>
              <w:t>&amp;</w:t>
            </w:r>
            <w:r>
              <w:rPr>
                <w:b/>
                <w:bCs/>
              </w:rPr>
              <w:t>10</w:t>
            </w:r>
          </w:p>
        </w:tc>
      </w:tr>
      <w:tr w:rsidR="002C11F7" w14:paraId="2785FD86" w14:textId="77777777" w:rsidTr="00582737">
        <w:tc>
          <w:tcPr>
            <w:tcW w:w="984" w:type="pct"/>
            <w:vMerge/>
          </w:tcPr>
          <w:p w14:paraId="26AB7133" w14:textId="77777777" w:rsidR="00733622" w:rsidRDefault="00733622" w:rsidP="00C41A3E"/>
        </w:tc>
        <w:tc>
          <w:tcPr>
            <w:tcW w:w="410" w:type="pct"/>
            <w:vMerge/>
          </w:tcPr>
          <w:p w14:paraId="1A2282E7" w14:textId="77777777" w:rsidR="00733622" w:rsidRDefault="00733622" w:rsidP="00C41A3E"/>
        </w:tc>
        <w:tc>
          <w:tcPr>
            <w:tcW w:w="2957" w:type="pct"/>
          </w:tcPr>
          <w:p w14:paraId="3904956F" w14:textId="5DC29A40" w:rsidR="00733622" w:rsidRDefault="00A23C04" w:rsidP="00C41A3E">
            <w:r>
              <w:t>Description of any stratified or subgroup analyses</w:t>
            </w:r>
          </w:p>
        </w:tc>
        <w:tc>
          <w:tcPr>
            <w:tcW w:w="648" w:type="pct"/>
            <w:vAlign w:val="center"/>
          </w:tcPr>
          <w:p w14:paraId="7FE5A208" w14:textId="322DEEA7" w:rsidR="00733622" w:rsidRPr="000B7EBA" w:rsidRDefault="00DC6E94" w:rsidP="000B7EBA">
            <w:pPr>
              <w:jc w:val="center"/>
              <w:rPr>
                <w:b/>
                <w:bCs/>
              </w:rPr>
            </w:pPr>
            <w:r>
              <w:rPr>
                <w:b/>
                <w:bCs/>
              </w:rPr>
              <w:t>8&amp;9</w:t>
            </w:r>
          </w:p>
        </w:tc>
      </w:tr>
      <w:tr w:rsidR="002C11F7" w14:paraId="1EA922C2" w14:textId="77777777" w:rsidTr="00582737">
        <w:tc>
          <w:tcPr>
            <w:tcW w:w="984" w:type="pct"/>
            <w:vMerge/>
          </w:tcPr>
          <w:p w14:paraId="5A5BD7D1" w14:textId="77777777" w:rsidR="00733622" w:rsidRDefault="00733622" w:rsidP="00C41A3E"/>
        </w:tc>
        <w:tc>
          <w:tcPr>
            <w:tcW w:w="410" w:type="pct"/>
            <w:vMerge/>
          </w:tcPr>
          <w:p w14:paraId="10735A79" w14:textId="77777777" w:rsidR="00733622" w:rsidRDefault="00733622" w:rsidP="00C41A3E"/>
        </w:tc>
        <w:tc>
          <w:tcPr>
            <w:tcW w:w="2957" w:type="pct"/>
          </w:tcPr>
          <w:p w14:paraId="34629CDD" w14:textId="321A4E3D" w:rsidR="00733622" w:rsidRDefault="00A23C04" w:rsidP="00C41A3E">
            <w:r>
              <w:t>Explanation of how missing data were addressed</w:t>
            </w:r>
          </w:p>
        </w:tc>
        <w:tc>
          <w:tcPr>
            <w:tcW w:w="648" w:type="pct"/>
            <w:vAlign w:val="center"/>
          </w:tcPr>
          <w:p w14:paraId="46289A02" w14:textId="78CE010A" w:rsidR="00733622" w:rsidRPr="000B7EBA" w:rsidRDefault="007E01DB" w:rsidP="000B7EBA">
            <w:pPr>
              <w:jc w:val="center"/>
              <w:rPr>
                <w:b/>
                <w:bCs/>
              </w:rPr>
            </w:pPr>
            <w:r>
              <w:rPr>
                <w:b/>
                <w:bCs/>
              </w:rPr>
              <w:t>n/a</w:t>
            </w:r>
          </w:p>
        </w:tc>
      </w:tr>
      <w:tr w:rsidR="002C11F7" w14:paraId="67D3BA84" w14:textId="77777777" w:rsidTr="00582737">
        <w:tc>
          <w:tcPr>
            <w:tcW w:w="984" w:type="pct"/>
            <w:vMerge/>
          </w:tcPr>
          <w:p w14:paraId="59A732C2" w14:textId="77777777" w:rsidR="00733622" w:rsidRDefault="00733622" w:rsidP="00C41A3E"/>
        </w:tc>
        <w:tc>
          <w:tcPr>
            <w:tcW w:w="410" w:type="pct"/>
            <w:vMerge/>
          </w:tcPr>
          <w:p w14:paraId="7E5324D9" w14:textId="77777777" w:rsidR="00733622" w:rsidRDefault="00733622" w:rsidP="00C41A3E"/>
        </w:tc>
        <w:tc>
          <w:tcPr>
            <w:tcW w:w="2957" w:type="pct"/>
          </w:tcPr>
          <w:p w14:paraId="56B99A02" w14:textId="1EAC94B6" w:rsidR="00733622" w:rsidRDefault="000F1721" w:rsidP="00C41A3E">
            <w:r>
              <w:t>Discussion of uncertainty in the primary statistical model and description of any additional sensitivity analyses</w:t>
            </w:r>
          </w:p>
        </w:tc>
        <w:tc>
          <w:tcPr>
            <w:tcW w:w="648" w:type="pct"/>
            <w:vAlign w:val="center"/>
          </w:tcPr>
          <w:p w14:paraId="29561E43" w14:textId="1A5C62D8" w:rsidR="00733622" w:rsidRPr="000B7EBA" w:rsidRDefault="002B7D92" w:rsidP="000B7EBA">
            <w:pPr>
              <w:jc w:val="center"/>
              <w:rPr>
                <w:b/>
                <w:bCs/>
              </w:rPr>
            </w:pPr>
            <w:r>
              <w:rPr>
                <w:b/>
                <w:bCs/>
              </w:rPr>
              <w:t>9</w:t>
            </w:r>
          </w:p>
        </w:tc>
      </w:tr>
      <w:tr w:rsidR="002C11F7" w14:paraId="02B22A18" w14:textId="77777777" w:rsidTr="00582737">
        <w:tc>
          <w:tcPr>
            <w:tcW w:w="984" w:type="pct"/>
            <w:vMerge/>
          </w:tcPr>
          <w:p w14:paraId="40A7536A" w14:textId="77777777" w:rsidR="00733622" w:rsidRDefault="00733622" w:rsidP="00C41A3E"/>
        </w:tc>
        <w:tc>
          <w:tcPr>
            <w:tcW w:w="410" w:type="pct"/>
            <w:vMerge/>
          </w:tcPr>
          <w:p w14:paraId="6E37CDD7" w14:textId="77777777" w:rsidR="00733622" w:rsidRDefault="00733622" w:rsidP="00C41A3E"/>
        </w:tc>
        <w:tc>
          <w:tcPr>
            <w:tcW w:w="2957" w:type="pct"/>
          </w:tcPr>
          <w:p w14:paraId="6DE0A41E" w14:textId="6F610EFB" w:rsidR="00733622" w:rsidRDefault="00B260FB" w:rsidP="00C41A3E">
            <w:r>
              <w:t>Statistical software or programs used</w:t>
            </w:r>
          </w:p>
        </w:tc>
        <w:tc>
          <w:tcPr>
            <w:tcW w:w="648" w:type="pct"/>
            <w:vAlign w:val="center"/>
          </w:tcPr>
          <w:p w14:paraId="5E050C35" w14:textId="3358D86C" w:rsidR="00733622" w:rsidRPr="000B7EBA" w:rsidRDefault="002B7D92" w:rsidP="000B7EBA">
            <w:pPr>
              <w:jc w:val="center"/>
              <w:rPr>
                <w:b/>
                <w:bCs/>
              </w:rPr>
            </w:pPr>
            <w:r>
              <w:rPr>
                <w:b/>
                <w:bCs/>
              </w:rPr>
              <w:t>10</w:t>
            </w:r>
          </w:p>
        </w:tc>
      </w:tr>
      <w:tr w:rsidR="007A51DB" w14:paraId="5BF155E0" w14:textId="77777777" w:rsidTr="00582737">
        <w:tc>
          <w:tcPr>
            <w:tcW w:w="5000" w:type="pct"/>
            <w:gridSpan w:val="4"/>
            <w:shd w:val="clear" w:color="auto" w:fill="FFFFCC"/>
          </w:tcPr>
          <w:p w14:paraId="3D14A456" w14:textId="6CEC84EC" w:rsidR="007A51DB" w:rsidRPr="0033013C" w:rsidRDefault="007A51DB" w:rsidP="00C41A3E">
            <w:pPr>
              <w:rPr>
                <w:b/>
                <w:bCs/>
              </w:rPr>
            </w:pPr>
            <w:r w:rsidRPr="0033013C">
              <w:rPr>
                <w:b/>
                <w:bCs/>
              </w:rPr>
              <w:t>Results</w:t>
            </w:r>
          </w:p>
        </w:tc>
      </w:tr>
      <w:tr w:rsidR="002C11F7" w14:paraId="3E262B75" w14:textId="77777777" w:rsidTr="00582737">
        <w:tc>
          <w:tcPr>
            <w:tcW w:w="984" w:type="pct"/>
          </w:tcPr>
          <w:p w14:paraId="54785C06" w14:textId="34487282" w:rsidR="00B80F68" w:rsidRDefault="009E06BD" w:rsidP="00C41A3E">
            <w:r>
              <w:t xml:space="preserve">Numbers </w:t>
            </w:r>
            <w:r w:rsidR="00B642A5">
              <w:t>A</w:t>
            </w:r>
            <w:r>
              <w:t>nalysed</w:t>
            </w:r>
          </w:p>
        </w:tc>
        <w:tc>
          <w:tcPr>
            <w:tcW w:w="410" w:type="pct"/>
          </w:tcPr>
          <w:p w14:paraId="286F305E" w14:textId="2ADD4FDD" w:rsidR="00B80F68" w:rsidRDefault="009E06BD" w:rsidP="00C86533">
            <w:pPr>
              <w:jc w:val="center"/>
            </w:pPr>
            <w:r>
              <w:t>11</w:t>
            </w:r>
          </w:p>
        </w:tc>
        <w:tc>
          <w:tcPr>
            <w:tcW w:w="2957" w:type="pct"/>
          </w:tcPr>
          <w:p w14:paraId="4C9F45FD" w14:textId="030BCA15" w:rsidR="00B80F68" w:rsidRDefault="00240362" w:rsidP="00C41A3E">
            <w:r>
              <w:t>Report on the number of participants (denominator) included in each analysis for each study condition throughout the study period, particularly when the denominators change for different outcomes.</w:t>
            </w:r>
          </w:p>
        </w:tc>
        <w:tc>
          <w:tcPr>
            <w:tcW w:w="648" w:type="pct"/>
            <w:vAlign w:val="center"/>
          </w:tcPr>
          <w:p w14:paraId="154CCB76" w14:textId="277AD391" w:rsidR="00B80F68" w:rsidRPr="008C6A91" w:rsidRDefault="00493536" w:rsidP="008C6A91">
            <w:pPr>
              <w:jc w:val="center"/>
              <w:rPr>
                <w:b/>
                <w:bCs/>
              </w:rPr>
            </w:pPr>
            <w:r>
              <w:rPr>
                <w:b/>
                <w:bCs/>
              </w:rPr>
              <w:t>11</w:t>
            </w:r>
          </w:p>
        </w:tc>
      </w:tr>
      <w:tr w:rsidR="002C11F7" w14:paraId="16E2BBD9" w14:textId="77777777" w:rsidTr="00582737">
        <w:tc>
          <w:tcPr>
            <w:tcW w:w="984" w:type="pct"/>
            <w:vMerge w:val="restart"/>
          </w:tcPr>
          <w:p w14:paraId="595E0D2E" w14:textId="112BFA40" w:rsidR="00B064F4" w:rsidRDefault="00B064F4" w:rsidP="00C41A3E">
            <w:r>
              <w:t>Population Characteristics</w:t>
            </w:r>
          </w:p>
        </w:tc>
        <w:tc>
          <w:tcPr>
            <w:tcW w:w="410" w:type="pct"/>
            <w:vMerge w:val="restart"/>
          </w:tcPr>
          <w:p w14:paraId="082C8A36" w14:textId="2AC95F5D" w:rsidR="00B064F4" w:rsidRDefault="00B064F4" w:rsidP="00C86533">
            <w:pPr>
              <w:jc w:val="center"/>
            </w:pPr>
            <w:r>
              <w:t>12</w:t>
            </w:r>
          </w:p>
        </w:tc>
        <w:tc>
          <w:tcPr>
            <w:tcW w:w="2957" w:type="pct"/>
          </w:tcPr>
          <w:p w14:paraId="2FBEEDB2" w14:textId="68F73C83" w:rsidR="00B064F4" w:rsidRDefault="004B798F" w:rsidP="00C41A3E">
            <w:r>
              <w:t xml:space="preserve">Description of the baseline demographic and clinical characteristics of the intervention group and any control </w:t>
            </w:r>
            <w:r>
              <w:lastRenderedPageBreak/>
              <w:t>groups at baseline and throughout the study period (a table is recommended)</w:t>
            </w:r>
          </w:p>
        </w:tc>
        <w:tc>
          <w:tcPr>
            <w:tcW w:w="648" w:type="pct"/>
            <w:vAlign w:val="center"/>
          </w:tcPr>
          <w:p w14:paraId="4AB1825B" w14:textId="01CC5D43" w:rsidR="00B064F4" w:rsidRPr="008C6A91" w:rsidRDefault="00E42D0D" w:rsidP="008C6A91">
            <w:pPr>
              <w:jc w:val="center"/>
              <w:rPr>
                <w:b/>
                <w:bCs/>
              </w:rPr>
            </w:pPr>
            <w:r>
              <w:rPr>
                <w:b/>
                <w:bCs/>
              </w:rPr>
              <w:lastRenderedPageBreak/>
              <w:t>n/a</w:t>
            </w:r>
          </w:p>
        </w:tc>
      </w:tr>
      <w:tr w:rsidR="002C11F7" w14:paraId="6C416FC2" w14:textId="77777777" w:rsidTr="00582737">
        <w:tc>
          <w:tcPr>
            <w:tcW w:w="984" w:type="pct"/>
            <w:vMerge/>
          </w:tcPr>
          <w:p w14:paraId="134D1EB2" w14:textId="77777777" w:rsidR="00B064F4" w:rsidRDefault="00B064F4" w:rsidP="00C41A3E"/>
        </w:tc>
        <w:tc>
          <w:tcPr>
            <w:tcW w:w="410" w:type="pct"/>
            <w:vMerge/>
          </w:tcPr>
          <w:p w14:paraId="109F423F" w14:textId="77777777" w:rsidR="00B064F4" w:rsidRDefault="00B064F4" w:rsidP="00C41A3E"/>
        </w:tc>
        <w:tc>
          <w:tcPr>
            <w:tcW w:w="2957" w:type="pct"/>
          </w:tcPr>
          <w:p w14:paraId="48BD2B7A" w14:textId="73548C59" w:rsidR="00B064F4" w:rsidRDefault="005868C6" w:rsidP="00C41A3E">
            <w:r>
              <w:t>Report on study group equivalence at baseline and statistical methods used to control for baseline differences</w:t>
            </w:r>
          </w:p>
        </w:tc>
        <w:tc>
          <w:tcPr>
            <w:tcW w:w="648" w:type="pct"/>
            <w:vAlign w:val="center"/>
          </w:tcPr>
          <w:p w14:paraId="1C39B0D4" w14:textId="431C0D70" w:rsidR="00B064F4" w:rsidRPr="008C6A91" w:rsidRDefault="00B617C7" w:rsidP="008C6A91">
            <w:pPr>
              <w:jc w:val="center"/>
              <w:rPr>
                <w:b/>
                <w:bCs/>
              </w:rPr>
            </w:pPr>
            <w:r>
              <w:rPr>
                <w:b/>
                <w:bCs/>
              </w:rPr>
              <w:t>n/a</w:t>
            </w:r>
          </w:p>
        </w:tc>
      </w:tr>
      <w:tr w:rsidR="002C11F7" w14:paraId="1455E3C9" w14:textId="77777777" w:rsidTr="00582737">
        <w:tc>
          <w:tcPr>
            <w:tcW w:w="984" w:type="pct"/>
            <w:vMerge/>
          </w:tcPr>
          <w:p w14:paraId="25694EE7" w14:textId="77777777" w:rsidR="00B064F4" w:rsidRDefault="00B064F4" w:rsidP="00C41A3E"/>
        </w:tc>
        <w:tc>
          <w:tcPr>
            <w:tcW w:w="410" w:type="pct"/>
            <w:vMerge/>
          </w:tcPr>
          <w:p w14:paraId="5404BD46" w14:textId="77777777" w:rsidR="00B064F4" w:rsidRDefault="00B064F4" w:rsidP="00C41A3E"/>
        </w:tc>
        <w:tc>
          <w:tcPr>
            <w:tcW w:w="2957" w:type="pct"/>
          </w:tcPr>
          <w:p w14:paraId="54DDF999" w14:textId="1CB1F46D" w:rsidR="00B064F4" w:rsidRDefault="005868C6" w:rsidP="00C41A3E">
            <w:r>
              <w:t>Identification of differential changes in population characteristics between study groups throughout the study period and description of statistical methods used to control for differential changes</w:t>
            </w:r>
          </w:p>
        </w:tc>
        <w:tc>
          <w:tcPr>
            <w:tcW w:w="648" w:type="pct"/>
            <w:vAlign w:val="center"/>
          </w:tcPr>
          <w:p w14:paraId="62BD543F" w14:textId="4BA9B8E5" w:rsidR="00B064F4" w:rsidRPr="008C6A91" w:rsidRDefault="00A61EBC" w:rsidP="008C6A91">
            <w:pPr>
              <w:jc w:val="center"/>
              <w:rPr>
                <w:b/>
                <w:bCs/>
              </w:rPr>
            </w:pPr>
            <w:r>
              <w:rPr>
                <w:b/>
                <w:bCs/>
              </w:rPr>
              <w:t>n/a</w:t>
            </w:r>
          </w:p>
        </w:tc>
      </w:tr>
      <w:tr w:rsidR="002C11F7" w14:paraId="69485FE8" w14:textId="77777777" w:rsidTr="00582737">
        <w:tc>
          <w:tcPr>
            <w:tcW w:w="984" w:type="pct"/>
            <w:vMerge w:val="restart"/>
          </w:tcPr>
          <w:p w14:paraId="3E1042E7" w14:textId="38A480C2" w:rsidR="00BA7A9B" w:rsidRDefault="00BA7A9B" w:rsidP="00C41A3E">
            <w:r>
              <w:t>Outcomes and Estimation</w:t>
            </w:r>
          </w:p>
        </w:tc>
        <w:tc>
          <w:tcPr>
            <w:tcW w:w="410" w:type="pct"/>
            <w:vMerge w:val="restart"/>
          </w:tcPr>
          <w:p w14:paraId="10E36A31" w14:textId="1A5B1B43" w:rsidR="00BA7A9B" w:rsidRDefault="00BA7A9B" w:rsidP="00C86533">
            <w:pPr>
              <w:jc w:val="center"/>
            </w:pPr>
            <w:r>
              <w:t>13</w:t>
            </w:r>
          </w:p>
        </w:tc>
        <w:tc>
          <w:tcPr>
            <w:tcW w:w="2957" w:type="pct"/>
          </w:tcPr>
          <w:p w14:paraId="7F6D9E35" w14:textId="6477E14F" w:rsidR="00BA7A9B" w:rsidRDefault="002334AF" w:rsidP="00C41A3E">
            <w:r>
              <w:t>For each primary and secondary outcome, a summary of results for each estimation study condition, and the estimated effect size and a confidence interval to indicate the precision</w:t>
            </w:r>
          </w:p>
        </w:tc>
        <w:tc>
          <w:tcPr>
            <w:tcW w:w="648" w:type="pct"/>
            <w:vAlign w:val="center"/>
          </w:tcPr>
          <w:p w14:paraId="2B5B513D" w14:textId="32652B17" w:rsidR="00BA7A9B" w:rsidRPr="008C6A91" w:rsidRDefault="00F334FE" w:rsidP="008C6A91">
            <w:pPr>
              <w:jc w:val="center"/>
              <w:rPr>
                <w:b/>
                <w:bCs/>
              </w:rPr>
            </w:pPr>
            <w:r>
              <w:rPr>
                <w:b/>
                <w:bCs/>
              </w:rPr>
              <w:t>11</w:t>
            </w:r>
            <w:r w:rsidR="00A909B3">
              <w:rPr>
                <w:b/>
                <w:bCs/>
              </w:rPr>
              <w:t>&amp;1</w:t>
            </w:r>
            <w:r>
              <w:rPr>
                <w:b/>
                <w:bCs/>
              </w:rPr>
              <w:t>2</w:t>
            </w:r>
          </w:p>
        </w:tc>
      </w:tr>
      <w:tr w:rsidR="002C11F7" w14:paraId="62DC55D9" w14:textId="77777777" w:rsidTr="00582737">
        <w:tc>
          <w:tcPr>
            <w:tcW w:w="984" w:type="pct"/>
            <w:vMerge/>
          </w:tcPr>
          <w:p w14:paraId="189443D1" w14:textId="77777777" w:rsidR="00BA7A9B" w:rsidRDefault="00BA7A9B" w:rsidP="00C41A3E"/>
        </w:tc>
        <w:tc>
          <w:tcPr>
            <w:tcW w:w="410" w:type="pct"/>
            <w:vMerge/>
          </w:tcPr>
          <w:p w14:paraId="0AFA580F" w14:textId="77777777" w:rsidR="00BA7A9B" w:rsidRDefault="00BA7A9B" w:rsidP="00C86533">
            <w:pPr>
              <w:jc w:val="center"/>
            </w:pPr>
          </w:p>
        </w:tc>
        <w:tc>
          <w:tcPr>
            <w:tcW w:w="2957" w:type="pct"/>
          </w:tcPr>
          <w:p w14:paraId="4110F497" w14:textId="279400FF" w:rsidR="00BA7A9B" w:rsidRDefault="00EB1D8F" w:rsidP="00C41A3E">
            <w:r>
              <w:t>Report on both relative and absolute changes in the study outcomes following the intervention</w:t>
            </w:r>
          </w:p>
        </w:tc>
        <w:tc>
          <w:tcPr>
            <w:tcW w:w="648" w:type="pct"/>
            <w:vAlign w:val="center"/>
          </w:tcPr>
          <w:p w14:paraId="42842716" w14:textId="14556649" w:rsidR="00BA7A9B" w:rsidRPr="008C6A91" w:rsidRDefault="001A210C" w:rsidP="008C6A91">
            <w:pPr>
              <w:jc w:val="center"/>
              <w:rPr>
                <w:b/>
                <w:bCs/>
              </w:rPr>
            </w:pPr>
            <w:r>
              <w:rPr>
                <w:b/>
                <w:bCs/>
              </w:rPr>
              <w:t>11</w:t>
            </w:r>
            <w:r w:rsidR="009F3589">
              <w:rPr>
                <w:b/>
                <w:bCs/>
              </w:rPr>
              <w:t>&amp;1</w:t>
            </w:r>
            <w:r>
              <w:rPr>
                <w:b/>
                <w:bCs/>
              </w:rPr>
              <w:t>2</w:t>
            </w:r>
          </w:p>
        </w:tc>
      </w:tr>
      <w:tr w:rsidR="002C11F7" w14:paraId="273B98CD" w14:textId="77777777" w:rsidTr="00582737">
        <w:tc>
          <w:tcPr>
            <w:tcW w:w="984" w:type="pct"/>
            <w:vMerge/>
          </w:tcPr>
          <w:p w14:paraId="39D66463" w14:textId="77777777" w:rsidR="00BA7A9B" w:rsidRDefault="00BA7A9B" w:rsidP="00C41A3E"/>
        </w:tc>
        <w:tc>
          <w:tcPr>
            <w:tcW w:w="410" w:type="pct"/>
            <w:vMerge/>
          </w:tcPr>
          <w:p w14:paraId="70D5FBC9" w14:textId="77777777" w:rsidR="00BA7A9B" w:rsidRDefault="00BA7A9B" w:rsidP="00C86533">
            <w:pPr>
              <w:jc w:val="center"/>
            </w:pPr>
          </w:p>
        </w:tc>
        <w:tc>
          <w:tcPr>
            <w:tcW w:w="2957" w:type="pct"/>
          </w:tcPr>
          <w:p w14:paraId="5C293558" w14:textId="51763283" w:rsidR="00BA7A9B" w:rsidRDefault="006D7AF8" w:rsidP="00C41A3E">
            <w:r>
              <w:t>Inclusion of null and negative findings</w:t>
            </w:r>
          </w:p>
        </w:tc>
        <w:tc>
          <w:tcPr>
            <w:tcW w:w="648" w:type="pct"/>
            <w:vAlign w:val="center"/>
          </w:tcPr>
          <w:p w14:paraId="33F05D64" w14:textId="56FD1DDA" w:rsidR="00BA7A9B" w:rsidRPr="008C6A91" w:rsidRDefault="005B2ABC" w:rsidP="008C6A91">
            <w:pPr>
              <w:jc w:val="center"/>
              <w:rPr>
                <w:b/>
                <w:bCs/>
              </w:rPr>
            </w:pPr>
            <w:r>
              <w:rPr>
                <w:b/>
                <w:bCs/>
              </w:rPr>
              <w:t>11</w:t>
            </w:r>
            <w:r w:rsidR="009F3589">
              <w:rPr>
                <w:b/>
                <w:bCs/>
              </w:rPr>
              <w:t>&amp;1</w:t>
            </w:r>
            <w:r>
              <w:rPr>
                <w:b/>
                <w:bCs/>
              </w:rPr>
              <w:t>2</w:t>
            </w:r>
          </w:p>
        </w:tc>
      </w:tr>
      <w:tr w:rsidR="002C11F7" w14:paraId="08B7ACC5" w14:textId="77777777" w:rsidTr="00582737">
        <w:tc>
          <w:tcPr>
            <w:tcW w:w="984" w:type="pct"/>
            <w:vMerge/>
          </w:tcPr>
          <w:p w14:paraId="3461B149" w14:textId="77777777" w:rsidR="00BA7A9B" w:rsidRDefault="00BA7A9B" w:rsidP="00C41A3E"/>
        </w:tc>
        <w:tc>
          <w:tcPr>
            <w:tcW w:w="410" w:type="pct"/>
            <w:vMerge/>
          </w:tcPr>
          <w:p w14:paraId="22DB1BEE" w14:textId="77777777" w:rsidR="00BA7A9B" w:rsidRDefault="00BA7A9B" w:rsidP="00C86533">
            <w:pPr>
              <w:jc w:val="center"/>
            </w:pPr>
          </w:p>
        </w:tc>
        <w:tc>
          <w:tcPr>
            <w:tcW w:w="2957" w:type="pct"/>
          </w:tcPr>
          <w:p w14:paraId="4ACB4E34" w14:textId="7BFFC853" w:rsidR="00BA7A9B" w:rsidRDefault="003A3EB0" w:rsidP="00C41A3E">
            <w:r>
              <w:t>Inclusion of results from testing pre-specified causal pathways through which the intervention was intended to operate, if any</w:t>
            </w:r>
          </w:p>
        </w:tc>
        <w:tc>
          <w:tcPr>
            <w:tcW w:w="648" w:type="pct"/>
            <w:vAlign w:val="center"/>
          </w:tcPr>
          <w:p w14:paraId="74840B70" w14:textId="3B2C6635" w:rsidR="00BA7A9B" w:rsidRPr="008C6A91" w:rsidRDefault="004D4CA7" w:rsidP="008C6A91">
            <w:pPr>
              <w:jc w:val="center"/>
              <w:rPr>
                <w:b/>
                <w:bCs/>
              </w:rPr>
            </w:pPr>
            <w:r>
              <w:rPr>
                <w:b/>
                <w:bCs/>
              </w:rPr>
              <w:t>n/a</w:t>
            </w:r>
          </w:p>
        </w:tc>
      </w:tr>
      <w:tr w:rsidR="002C11F7" w14:paraId="4D49AE52" w14:textId="77777777" w:rsidTr="00582737">
        <w:tc>
          <w:tcPr>
            <w:tcW w:w="984" w:type="pct"/>
            <w:vMerge/>
          </w:tcPr>
          <w:p w14:paraId="096BB665" w14:textId="77777777" w:rsidR="00BA7A9B" w:rsidRDefault="00BA7A9B" w:rsidP="00C41A3E"/>
        </w:tc>
        <w:tc>
          <w:tcPr>
            <w:tcW w:w="410" w:type="pct"/>
            <w:vMerge/>
          </w:tcPr>
          <w:p w14:paraId="0440F658" w14:textId="77777777" w:rsidR="00BA7A9B" w:rsidRDefault="00BA7A9B" w:rsidP="00C86533">
            <w:pPr>
              <w:jc w:val="center"/>
            </w:pPr>
          </w:p>
        </w:tc>
        <w:tc>
          <w:tcPr>
            <w:tcW w:w="2957" w:type="pct"/>
          </w:tcPr>
          <w:p w14:paraId="4B37438B" w14:textId="7B6C5BDD" w:rsidR="00BA7A9B" w:rsidRDefault="00EC271B" w:rsidP="00C41A3E">
            <w:r>
              <w:t xml:space="preserve">Graphical presentation of the time series for each outcome with the regression line, pre-intervention </w:t>
            </w:r>
            <w:proofErr w:type="gramStart"/>
            <w:r>
              <w:t>time period</w:t>
            </w:r>
            <w:proofErr w:type="gramEnd"/>
            <w:r>
              <w:t>, intervention points and post-intervention period clearly indicated</w:t>
            </w:r>
          </w:p>
        </w:tc>
        <w:tc>
          <w:tcPr>
            <w:tcW w:w="648" w:type="pct"/>
            <w:vAlign w:val="center"/>
          </w:tcPr>
          <w:p w14:paraId="22270078" w14:textId="2C0F81FA" w:rsidR="00BA7A9B" w:rsidRPr="008C6A91" w:rsidRDefault="004D4CA7" w:rsidP="008C6A91">
            <w:pPr>
              <w:jc w:val="center"/>
              <w:rPr>
                <w:b/>
                <w:bCs/>
              </w:rPr>
            </w:pPr>
            <w:r>
              <w:rPr>
                <w:b/>
                <w:bCs/>
              </w:rPr>
              <w:t>Figures 1,2</w:t>
            </w:r>
            <w:r w:rsidR="00DE7790">
              <w:rPr>
                <w:b/>
                <w:bCs/>
              </w:rPr>
              <w:t>&amp;S1</w:t>
            </w:r>
            <w:r w:rsidR="00D23A53">
              <w:rPr>
                <w:b/>
                <w:bCs/>
              </w:rPr>
              <w:t>-</w:t>
            </w:r>
            <w:r w:rsidR="00DE7790">
              <w:rPr>
                <w:b/>
                <w:bCs/>
              </w:rPr>
              <w:t>S</w:t>
            </w:r>
            <w:r w:rsidR="00D23A53">
              <w:rPr>
                <w:b/>
                <w:bCs/>
              </w:rPr>
              <w:t>6</w:t>
            </w:r>
          </w:p>
        </w:tc>
      </w:tr>
      <w:tr w:rsidR="002C11F7" w14:paraId="4361A3AE" w14:textId="77777777" w:rsidTr="00582737">
        <w:tc>
          <w:tcPr>
            <w:tcW w:w="984" w:type="pct"/>
          </w:tcPr>
          <w:p w14:paraId="1EB15882" w14:textId="62A927A7" w:rsidR="00B80F68" w:rsidRDefault="00D0576B" w:rsidP="00C41A3E">
            <w:r>
              <w:t>A</w:t>
            </w:r>
            <w:r w:rsidR="00EC0684">
              <w:t>ncillary Analyses</w:t>
            </w:r>
          </w:p>
        </w:tc>
        <w:tc>
          <w:tcPr>
            <w:tcW w:w="410" w:type="pct"/>
          </w:tcPr>
          <w:p w14:paraId="149D291A" w14:textId="093046BB" w:rsidR="00B80F68" w:rsidRDefault="00EC0684" w:rsidP="00C86533">
            <w:pPr>
              <w:jc w:val="center"/>
            </w:pPr>
            <w:r>
              <w:t>14</w:t>
            </w:r>
          </w:p>
        </w:tc>
        <w:tc>
          <w:tcPr>
            <w:tcW w:w="2957" w:type="pct"/>
          </w:tcPr>
          <w:p w14:paraId="6C3E94EC" w14:textId="18C09919" w:rsidR="00B80F68" w:rsidRDefault="00EC0684" w:rsidP="00C41A3E">
            <w:r>
              <w:t>Summary of other analyses performed, including subgroup or restricted analyses and sensitivity analyses, indicating which are pre-specified or exploratory</w:t>
            </w:r>
          </w:p>
        </w:tc>
        <w:tc>
          <w:tcPr>
            <w:tcW w:w="648" w:type="pct"/>
            <w:vAlign w:val="center"/>
          </w:tcPr>
          <w:p w14:paraId="37E410B4" w14:textId="61947B5D" w:rsidR="00B80F68" w:rsidRPr="008C6A91" w:rsidRDefault="003819FC" w:rsidP="008C6A91">
            <w:pPr>
              <w:jc w:val="center"/>
              <w:rPr>
                <w:b/>
                <w:bCs/>
              </w:rPr>
            </w:pPr>
            <w:r>
              <w:rPr>
                <w:b/>
                <w:bCs/>
              </w:rPr>
              <w:t>1</w:t>
            </w:r>
            <w:r w:rsidR="00B44D13">
              <w:rPr>
                <w:b/>
                <w:bCs/>
              </w:rPr>
              <w:t>2</w:t>
            </w:r>
            <w:r w:rsidR="00881DD5">
              <w:rPr>
                <w:b/>
                <w:bCs/>
              </w:rPr>
              <w:t>&amp;1</w:t>
            </w:r>
            <w:r w:rsidR="00B44D13">
              <w:rPr>
                <w:b/>
                <w:bCs/>
              </w:rPr>
              <w:t>3</w:t>
            </w:r>
          </w:p>
        </w:tc>
      </w:tr>
      <w:tr w:rsidR="002C11F7" w14:paraId="121EF811" w14:textId="77777777" w:rsidTr="00582737">
        <w:tc>
          <w:tcPr>
            <w:tcW w:w="984" w:type="pct"/>
          </w:tcPr>
          <w:p w14:paraId="13D11F55" w14:textId="2BA8B94B" w:rsidR="00B80F68" w:rsidRDefault="00F02CC8" w:rsidP="00C41A3E">
            <w:r>
              <w:t>Adverse Events</w:t>
            </w:r>
          </w:p>
        </w:tc>
        <w:tc>
          <w:tcPr>
            <w:tcW w:w="410" w:type="pct"/>
          </w:tcPr>
          <w:p w14:paraId="58ABC08A" w14:textId="621B3E43" w:rsidR="00B80F68" w:rsidRDefault="00F02CC8" w:rsidP="00C86533">
            <w:pPr>
              <w:jc w:val="center"/>
            </w:pPr>
            <w:r>
              <w:t>15</w:t>
            </w:r>
          </w:p>
        </w:tc>
        <w:tc>
          <w:tcPr>
            <w:tcW w:w="2957" w:type="pct"/>
          </w:tcPr>
          <w:p w14:paraId="500664F8" w14:textId="2618E7E1" w:rsidR="00B80F68" w:rsidRDefault="00142E8A" w:rsidP="00C41A3E">
            <w:r>
              <w:t>Summary of all important adverse events or unintended effects in each study condition (including summary measures, effect size estimates, and confidence intervals)</w:t>
            </w:r>
          </w:p>
        </w:tc>
        <w:tc>
          <w:tcPr>
            <w:tcW w:w="648" w:type="pct"/>
            <w:vAlign w:val="center"/>
          </w:tcPr>
          <w:p w14:paraId="205C5B15" w14:textId="664B99BB" w:rsidR="00B80F68" w:rsidRPr="008C6A91" w:rsidRDefault="003819FC" w:rsidP="008C6A91">
            <w:pPr>
              <w:jc w:val="center"/>
              <w:rPr>
                <w:b/>
                <w:bCs/>
              </w:rPr>
            </w:pPr>
            <w:r>
              <w:rPr>
                <w:b/>
                <w:bCs/>
              </w:rPr>
              <w:t>n/a</w:t>
            </w:r>
          </w:p>
        </w:tc>
      </w:tr>
      <w:tr w:rsidR="00142E8A" w14:paraId="30DC5513" w14:textId="77777777" w:rsidTr="00582737">
        <w:tc>
          <w:tcPr>
            <w:tcW w:w="5000" w:type="pct"/>
            <w:gridSpan w:val="4"/>
            <w:shd w:val="clear" w:color="auto" w:fill="FFFFCC"/>
          </w:tcPr>
          <w:p w14:paraId="77A5DB55" w14:textId="261558C6" w:rsidR="00142E8A" w:rsidRPr="00142E8A" w:rsidRDefault="00142E8A" w:rsidP="00C41A3E">
            <w:pPr>
              <w:rPr>
                <w:b/>
                <w:bCs/>
              </w:rPr>
            </w:pPr>
            <w:r w:rsidRPr="00142E8A">
              <w:rPr>
                <w:b/>
                <w:bCs/>
              </w:rPr>
              <w:t>Discussion</w:t>
            </w:r>
          </w:p>
        </w:tc>
      </w:tr>
      <w:tr w:rsidR="002C11F7" w14:paraId="63040496" w14:textId="77777777" w:rsidTr="00582737">
        <w:tc>
          <w:tcPr>
            <w:tcW w:w="984" w:type="pct"/>
            <w:vMerge w:val="restart"/>
          </w:tcPr>
          <w:p w14:paraId="0FB883DC" w14:textId="5A4ACCE3" w:rsidR="001E7375" w:rsidRDefault="001E7375" w:rsidP="00C41A3E">
            <w:r>
              <w:t>Interpretation</w:t>
            </w:r>
          </w:p>
        </w:tc>
        <w:tc>
          <w:tcPr>
            <w:tcW w:w="410" w:type="pct"/>
            <w:vMerge w:val="restart"/>
          </w:tcPr>
          <w:p w14:paraId="34A74D1D" w14:textId="4288C713" w:rsidR="001E7375" w:rsidRDefault="001E7375" w:rsidP="00C86533">
            <w:pPr>
              <w:jc w:val="center"/>
            </w:pPr>
            <w:r>
              <w:t>16</w:t>
            </w:r>
          </w:p>
        </w:tc>
        <w:tc>
          <w:tcPr>
            <w:tcW w:w="2957" w:type="pct"/>
          </w:tcPr>
          <w:p w14:paraId="1146223C" w14:textId="34F9D4D2" w:rsidR="001E7375" w:rsidRDefault="00AF2D83" w:rsidP="00C41A3E">
            <w:r>
              <w:t xml:space="preserve">Interpretation of the results, </w:t>
            </w:r>
            <w:proofErr w:type="gramStart"/>
            <w:r>
              <w:t>taking into account</w:t>
            </w:r>
            <w:proofErr w:type="gramEnd"/>
            <w:r>
              <w:t xml:space="preserve"> study hypotheses, sources of potential bias, imprecision of measures, multiplicative analyses, and other limitations or weaknesses of the study</w:t>
            </w:r>
          </w:p>
        </w:tc>
        <w:tc>
          <w:tcPr>
            <w:tcW w:w="648" w:type="pct"/>
            <w:vAlign w:val="center"/>
          </w:tcPr>
          <w:p w14:paraId="4A9C2353" w14:textId="6854F223" w:rsidR="001E7375" w:rsidRPr="00C801E6" w:rsidRDefault="00C801E6" w:rsidP="003819FC">
            <w:pPr>
              <w:jc w:val="center"/>
              <w:rPr>
                <w:b/>
                <w:bCs/>
              </w:rPr>
            </w:pPr>
            <w:r w:rsidRPr="00C801E6">
              <w:rPr>
                <w:b/>
                <w:bCs/>
              </w:rPr>
              <w:t>1</w:t>
            </w:r>
            <w:r w:rsidR="002F4A54">
              <w:rPr>
                <w:b/>
                <w:bCs/>
              </w:rPr>
              <w:t>4</w:t>
            </w:r>
            <w:r w:rsidRPr="00C801E6">
              <w:rPr>
                <w:b/>
                <w:bCs/>
              </w:rPr>
              <w:t>&amp;1</w:t>
            </w:r>
            <w:r w:rsidR="002F4A54">
              <w:rPr>
                <w:b/>
                <w:bCs/>
              </w:rPr>
              <w:t>5</w:t>
            </w:r>
          </w:p>
        </w:tc>
      </w:tr>
      <w:tr w:rsidR="002C11F7" w14:paraId="369BF3AA" w14:textId="77777777" w:rsidTr="00582737">
        <w:tc>
          <w:tcPr>
            <w:tcW w:w="984" w:type="pct"/>
            <w:vMerge/>
          </w:tcPr>
          <w:p w14:paraId="2C30DBBD" w14:textId="77777777" w:rsidR="001E7375" w:rsidRDefault="001E7375" w:rsidP="00C41A3E"/>
        </w:tc>
        <w:tc>
          <w:tcPr>
            <w:tcW w:w="410" w:type="pct"/>
            <w:vMerge/>
          </w:tcPr>
          <w:p w14:paraId="696AB50E" w14:textId="77777777" w:rsidR="001E7375" w:rsidRDefault="001E7375" w:rsidP="00C86533">
            <w:pPr>
              <w:jc w:val="center"/>
            </w:pPr>
          </w:p>
        </w:tc>
        <w:tc>
          <w:tcPr>
            <w:tcW w:w="2957" w:type="pct"/>
          </w:tcPr>
          <w:p w14:paraId="3DB0BA4B" w14:textId="664D7923" w:rsidR="001E7375" w:rsidRDefault="00165C07" w:rsidP="00C41A3E">
            <w:r>
              <w:t xml:space="preserve">Discussion of results </w:t>
            </w:r>
            <w:proofErr w:type="gramStart"/>
            <w:r>
              <w:t>taking into account</w:t>
            </w:r>
            <w:proofErr w:type="gramEnd"/>
            <w:r>
              <w:t xml:space="preserve"> the mechanism by which the intervention was intended to work (causal pathways) or alternative mechanisms or explanations</w:t>
            </w:r>
          </w:p>
        </w:tc>
        <w:tc>
          <w:tcPr>
            <w:tcW w:w="648" w:type="pct"/>
            <w:vAlign w:val="center"/>
          </w:tcPr>
          <w:p w14:paraId="3FE7B1C7" w14:textId="1C1310DE" w:rsidR="001E7375" w:rsidRPr="00A72E5A" w:rsidRDefault="00A72E5A" w:rsidP="00C801E6">
            <w:pPr>
              <w:jc w:val="center"/>
              <w:rPr>
                <w:b/>
                <w:bCs/>
              </w:rPr>
            </w:pPr>
            <w:r w:rsidRPr="00A72E5A">
              <w:rPr>
                <w:b/>
                <w:bCs/>
              </w:rPr>
              <w:t>1</w:t>
            </w:r>
            <w:r w:rsidR="002B3DDA">
              <w:rPr>
                <w:b/>
                <w:bCs/>
              </w:rPr>
              <w:t>4&amp;15</w:t>
            </w:r>
          </w:p>
        </w:tc>
      </w:tr>
      <w:tr w:rsidR="002C11F7" w14:paraId="48AC5D2E" w14:textId="77777777" w:rsidTr="00582737">
        <w:tc>
          <w:tcPr>
            <w:tcW w:w="984" w:type="pct"/>
            <w:vMerge/>
          </w:tcPr>
          <w:p w14:paraId="17DF8878" w14:textId="77777777" w:rsidR="001E7375" w:rsidRDefault="001E7375" w:rsidP="00C41A3E"/>
        </w:tc>
        <w:tc>
          <w:tcPr>
            <w:tcW w:w="410" w:type="pct"/>
            <w:vMerge/>
          </w:tcPr>
          <w:p w14:paraId="7583108C" w14:textId="77777777" w:rsidR="001E7375" w:rsidRDefault="001E7375" w:rsidP="00C86533">
            <w:pPr>
              <w:jc w:val="center"/>
            </w:pPr>
          </w:p>
        </w:tc>
        <w:tc>
          <w:tcPr>
            <w:tcW w:w="2957" w:type="pct"/>
          </w:tcPr>
          <w:p w14:paraId="401ECA76" w14:textId="698D872A" w:rsidR="001E7375" w:rsidRDefault="00AC1809" w:rsidP="00C41A3E">
            <w:r>
              <w:t>Discussion of the success of and barriers to implementing the intervention, fidelity of implementation</w:t>
            </w:r>
          </w:p>
        </w:tc>
        <w:tc>
          <w:tcPr>
            <w:tcW w:w="648" w:type="pct"/>
            <w:vAlign w:val="center"/>
          </w:tcPr>
          <w:p w14:paraId="7849F797" w14:textId="20334836" w:rsidR="001E7375" w:rsidRPr="00A72E5A" w:rsidRDefault="006872F1" w:rsidP="00A72E5A">
            <w:pPr>
              <w:jc w:val="center"/>
              <w:rPr>
                <w:b/>
                <w:bCs/>
              </w:rPr>
            </w:pPr>
            <w:r>
              <w:rPr>
                <w:b/>
                <w:bCs/>
              </w:rPr>
              <w:t>1</w:t>
            </w:r>
            <w:r w:rsidR="00353338">
              <w:rPr>
                <w:b/>
                <w:bCs/>
              </w:rPr>
              <w:t>5-17</w:t>
            </w:r>
          </w:p>
        </w:tc>
      </w:tr>
      <w:tr w:rsidR="002C11F7" w14:paraId="64F9CD39" w14:textId="77777777" w:rsidTr="00582737">
        <w:tc>
          <w:tcPr>
            <w:tcW w:w="984" w:type="pct"/>
            <w:vMerge/>
          </w:tcPr>
          <w:p w14:paraId="177F9B55" w14:textId="77777777" w:rsidR="001E7375" w:rsidRDefault="001E7375" w:rsidP="00C41A3E"/>
        </w:tc>
        <w:tc>
          <w:tcPr>
            <w:tcW w:w="410" w:type="pct"/>
            <w:vMerge/>
          </w:tcPr>
          <w:p w14:paraId="1576DBC1" w14:textId="77777777" w:rsidR="001E7375" w:rsidRDefault="001E7375" w:rsidP="00C86533">
            <w:pPr>
              <w:jc w:val="center"/>
            </w:pPr>
          </w:p>
        </w:tc>
        <w:tc>
          <w:tcPr>
            <w:tcW w:w="2957" w:type="pct"/>
          </w:tcPr>
          <w:p w14:paraId="0BD946B8" w14:textId="4ABB1312" w:rsidR="001E7375" w:rsidRDefault="00AC1809" w:rsidP="00C41A3E">
            <w:r>
              <w:t>Discussion of research, programmatic, or policy implications</w:t>
            </w:r>
          </w:p>
        </w:tc>
        <w:tc>
          <w:tcPr>
            <w:tcW w:w="648" w:type="pct"/>
            <w:vAlign w:val="center"/>
          </w:tcPr>
          <w:p w14:paraId="297ABEE3" w14:textId="55E57053" w:rsidR="001E7375" w:rsidRPr="00396D74" w:rsidRDefault="002B3DDA" w:rsidP="003F611E">
            <w:pPr>
              <w:jc w:val="center"/>
              <w:rPr>
                <w:b/>
                <w:bCs/>
              </w:rPr>
            </w:pPr>
            <w:r>
              <w:rPr>
                <w:b/>
                <w:bCs/>
              </w:rPr>
              <w:t>1</w:t>
            </w:r>
            <w:r w:rsidR="00353338">
              <w:rPr>
                <w:b/>
                <w:bCs/>
              </w:rPr>
              <w:t>5</w:t>
            </w:r>
            <w:r w:rsidR="003E7838">
              <w:rPr>
                <w:b/>
                <w:bCs/>
              </w:rPr>
              <w:t>-</w:t>
            </w:r>
            <w:r>
              <w:rPr>
                <w:b/>
                <w:bCs/>
              </w:rPr>
              <w:t>1</w:t>
            </w:r>
            <w:r w:rsidR="00353338">
              <w:rPr>
                <w:b/>
                <w:bCs/>
              </w:rPr>
              <w:t>7</w:t>
            </w:r>
          </w:p>
        </w:tc>
      </w:tr>
      <w:tr w:rsidR="002C11F7" w14:paraId="3C591A08" w14:textId="77777777" w:rsidTr="00582737">
        <w:tc>
          <w:tcPr>
            <w:tcW w:w="984" w:type="pct"/>
          </w:tcPr>
          <w:p w14:paraId="5E42FDD7" w14:textId="1D867426" w:rsidR="00B80F68" w:rsidRDefault="00AC1809" w:rsidP="00C41A3E">
            <w:r>
              <w:t>Generalizability</w:t>
            </w:r>
          </w:p>
        </w:tc>
        <w:tc>
          <w:tcPr>
            <w:tcW w:w="410" w:type="pct"/>
          </w:tcPr>
          <w:p w14:paraId="4B10FDCB" w14:textId="09BA194D" w:rsidR="00B80F68" w:rsidRDefault="00D42814" w:rsidP="00C86533">
            <w:pPr>
              <w:jc w:val="center"/>
            </w:pPr>
            <w:r>
              <w:t>17</w:t>
            </w:r>
          </w:p>
        </w:tc>
        <w:tc>
          <w:tcPr>
            <w:tcW w:w="2957" w:type="pct"/>
          </w:tcPr>
          <w:p w14:paraId="65E522AB" w14:textId="762A2861" w:rsidR="00B80F68" w:rsidRDefault="00D42814" w:rsidP="00C41A3E">
            <w:r>
              <w:t xml:space="preserve">Generalizability (external validity) of the findings, </w:t>
            </w:r>
            <w:proofErr w:type="gramStart"/>
            <w:r>
              <w:t>taking into account</w:t>
            </w:r>
            <w:proofErr w:type="gramEnd"/>
            <w:r>
              <w:t xml:space="preserve"> the study population, the characteristics of the intervention, length of follow-up, incentives, compliance rates, specific sites/settings involved in the study, and other contextual issues</w:t>
            </w:r>
          </w:p>
        </w:tc>
        <w:tc>
          <w:tcPr>
            <w:tcW w:w="648" w:type="pct"/>
            <w:vAlign w:val="center"/>
          </w:tcPr>
          <w:p w14:paraId="226FF6BB" w14:textId="15FF6899" w:rsidR="00B80F68" w:rsidRPr="003F611E" w:rsidRDefault="00D41D07" w:rsidP="003F611E">
            <w:pPr>
              <w:jc w:val="center"/>
              <w:rPr>
                <w:b/>
                <w:bCs/>
              </w:rPr>
            </w:pPr>
            <w:r>
              <w:rPr>
                <w:b/>
                <w:bCs/>
              </w:rPr>
              <w:t>15</w:t>
            </w:r>
            <w:r w:rsidR="00F75006">
              <w:rPr>
                <w:b/>
                <w:bCs/>
              </w:rPr>
              <w:t>-17</w:t>
            </w:r>
          </w:p>
        </w:tc>
      </w:tr>
      <w:tr w:rsidR="002C11F7" w14:paraId="6987C6B1" w14:textId="77777777" w:rsidTr="00582737">
        <w:tc>
          <w:tcPr>
            <w:tcW w:w="984" w:type="pct"/>
          </w:tcPr>
          <w:p w14:paraId="7F451521" w14:textId="3185CD31" w:rsidR="00B722DE" w:rsidRDefault="00C01D42" w:rsidP="00C01D42">
            <w:pPr>
              <w:jc w:val="center"/>
            </w:pPr>
            <w:r>
              <w:t>Overall Evidence</w:t>
            </w:r>
          </w:p>
        </w:tc>
        <w:tc>
          <w:tcPr>
            <w:tcW w:w="410" w:type="pct"/>
          </w:tcPr>
          <w:p w14:paraId="18488721" w14:textId="0CEBF57B" w:rsidR="00B722DE" w:rsidRDefault="00C01D42" w:rsidP="00C86533">
            <w:pPr>
              <w:jc w:val="center"/>
            </w:pPr>
            <w:r>
              <w:t>18</w:t>
            </w:r>
          </w:p>
        </w:tc>
        <w:tc>
          <w:tcPr>
            <w:tcW w:w="2957" w:type="pct"/>
          </w:tcPr>
          <w:p w14:paraId="3174C572" w14:textId="50642D3E" w:rsidR="00B722DE" w:rsidRDefault="001A4ADD" w:rsidP="00C41A3E">
            <w:r>
              <w:t>General interpretation of the results in the context of current evidence and current theory</w:t>
            </w:r>
          </w:p>
        </w:tc>
        <w:tc>
          <w:tcPr>
            <w:tcW w:w="648" w:type="pct"/>
            <w:vAlign w:val="center"/>
          </w:tcPr>
          <w:p w14:paraId="67C772B0" w14:textId="28CAD3B5" w:rsidR="00B722DE" w:rsidRPr="00396D74" w:rsidRDefault="00E20870" w:rsidP="00396D74">
            <w:pPr>
              <w:jc w:val="center"/>
              <w:rPr>
                <w:b/>
                <w:bCs/>
              </w:rPr>
            </w:pPr>
            <w:r>
              <w:rPr>
                <w:b/>
                <w:bCs/>
              </w:rPr>
              <w:t>17&amp;18</w:t>
            </w:r>
          </w:p>
        </w:tc>
      </w:tr>
    </w:tbl>
    <w:p w14:paraId="68402435" w14:textId="77777777" w:rsidR="00B80F68" w:rsidRPr="00B80F68" w:rsidRDefault="00B80F68" w:rsidP="00B80F68"/>
    <w:p w14:paraId="544AE5FB" w14:textId="77777777" w:rsidR="00B80F68" w:rsidRDefault="00B80F68" w:rsidP="00B80F68"/>
    <w:p w14:paraId="029E82E4" w14:textId="77777777" w:rsidR="003A1967" w:rsidRDefault="003A1967" w:rsidP="00B80F68">
      <w:pPr>
        <w:sectPr w:rsidR="003A1967">
          <w:pgSz w:w="11906" w:h="16838"/>
          <w:pgMar w:top="1440" w:right="1440" w:bottom="1440" w:left="1440" w:header="708" w:footer="708" w:gutter="0"/>
          <w:cols w:space="708"/>
          <w:docGrid w:linePitch="360"/>
        </w:sectPr>
      </w:pPr>
    </w:p>
    <w:p w14:paraId="0A207DBF" w14:textId="4E3C992B" w:rsidR="00FC0924" w:rsidRDefault="00FA289C" w:rsidP="00FC0924">
      <w:pPr>
        <w:pStyle w:val="Heading1"/>
        <w:jc w:val="left"/>
      </w:pPr>
      <w:bookmarkStart w:id="6" w:name="_Toc114677329"/>
      <w:r>
        <w:rPr>
          <w:b/>
          <w:bCs/>
        </w:rPr>
        <w:lastRenderedPageBreak/>
        <w:t xml:space="preserve">Supplementary </w:t>
      </w:r>
      <w:r w:rsidR="00FC0924">
        <w:rPr>
          <w:b/>
          <w:bCs/>
        </w:rPr>
        <w:t>Table</w:t>
      </w:r>
      <w:r w:rsidR="00FC0924" w:rsidRPr="00C65859">
        <w:rPr>
          <w:b/>
          <w:bCs/>
        </w:rPr>
        <w:t xml:space="preserve"> </w:t>
      </w:r>
      <w:r>
        <w:rPr>
          <w:b/>
          <w:bCs/>
        </w:rPr>
        <w:t>S</w:t>
      </w:r>
      <w:r w:rsidR="00D5136B">
        <w:rPr>
          <w:b/>
          <w:bCs/>
        </w:rPr>
        <w:t>2</w:t>
      </w:r>
      <w:r w:rsidR="00FC0924" w:rsidRPr="00C65859">
        <w:rPr>
          <w:b/>
          <w:bCs/>
        </w:rPr>
        <w:t>.</w:t>
      </w:r>
      <w:r w:rsidR="00FC0924">
        <w:t xml:space="preserve"> </w:t>
      </w:r>
      <w:r w:rsidR="00FC0924" w:rsidRPr="000545B7">
        <w:t>List of opioids</w:t>
      </w:r>
      <w:r w:rsidR="00FC0924">
        <w:t xml:space="preserve"> (BNF chapter 4.7.2)</w:t>
      </w:r>
      <w:r w:rsidR="008A403F">
        <w:t>,</w:t>
      </w:r>
      <w:r w:rsidR="00FC0924" w:rsidRPr="000545B7">
        <w:t xml:space="preserve"> </w:t>
      </w:r>
      <w:r w:rsidR="00FC0924">
        <w:t>opioid-containing combination</w:t>
      </w:r>
      <w:r w:rsidR="008A403F">
        <w:t xml:space="preserve"> analgesics and </w:t>
      </w:r>
      <w:proofErr w:type="spellStart"/>
      <w:r w:rsidR="008A403F">
        <w:t>gabapentinoid</w:t>
      </w:r>
      <w:proofErr w:type="spellEnd"/>
      <w:r w:rsidR="00FC0924">
        <w:t xml:space="preserve"> </w:t>
      </w:r>
      <w:r w:rsidR="008A403F">
        <w:t>drugs</w:t>
      </w:r>
      <w:r w:rsidR="00FC0924" w:rsidRPr="000545B7">
        <w:t xml:space="preserve"> </w:t>
      </w:r>
      <w:r w:rsidR="00683503">
        <w:t xml:space="preserve">included </w:t>
      </w:r>
      <w:r w:rsidR="00FC0924" w:rsidRPr="000545B7">
        <w:t>in the study</w:t>
      </w:r>
      <w:r w:rsidR="00E04ABF">
        <w:t xml:space="preserve"> and the number of items prescribed </w:t>
      </w:r>
      <w:r w:rsidR="005E4967">
        <w:t xml:space="preserve">in Scotland </w:t>
      </w:r>
      <w:r w:rsidR="00E04ABF">
        <w:t xml:space="preserve">between </w:t>
      </w:r>
      <w:r w:rsidR="00B43DE3">
        <w:t xml:space="preserve">Q1 </w:t>
      </w:r>
      <w:r w:rsidR="00E04ABF">
        <w:t>2005</w:t>
      </w:r>
      <w:r w:rsidR="00B43DE3">
        <w:t xml:space="preserve"> and Q2 2020</w:t>
      </w:r>
      <w:bookmarkEnd w:id="6"/>
    </w:p>
    <w:p w14:paraId="238463F1" w14:textId="77777777" w:rsidR="00B43DE3" w:rsidRPr="00B43DE3" w:rsidRDefault="00B43DE3" w:rsidP="00B43DE3"/>
    <w:tbl>
      <w:tblPr>
        <w:tblStyle w:val="TableGrid"/>
        <w:tblpPr w:leftFromText="180" w:rightFromText="180" w:vertAnchor="text" w:tblpY="1"/>
        <w:tblOverlap w:val="never"/>
        <w:tblW w:w="5000" w:type="pct"/>
        <w:tblLook w:val="04A0" w:firstRow="1" w:lastRow="0" w:firstColumn="1" w:lastColumn="0" w:noHBand="0" w:noVBand="1"/>
      </w:tblPr>
      <w:tblGrid>
        <w:gridCol w:w="4017"/>
        <w:gridCol w:w="1677"/>
        <w:gridCol w:w="1257"/>
        <w:gridCol w:w="2065"/>
      </w:tblGrid>
      <w:tr w:rsidR="007A0564" w14:paraId="6FC530FB" w14:textId="4E36360F" w:rsidTr="00467ED3">
        <w:tc>
          <w:tcPr>
            <w:tcW w:w="2228" w:type="pct"/>
            <w:shd w:val="clear" w:color="auto" w:fill="D9E2F3" w:themeFill="accent1" w:themeFillTint="33"/>
            <w:vAlign w:val="center"/>
          </w:tcPr>
          <w:p w14:paraId="1B84C874" w14:textId="77777777" w:rsidR="007A0564" w:rsidRPr="00FA289C" w:rsidRDefault="007A0564" w:rsidP="00467ED3">
            <w:pPr>
              <w:suppressLineNumbers/>
              <w:jc w:val="center"/>
              <w:rPr>
                <w:rFonts w:cstheme="minorHAnsi"/>
                <w:b/>
                <w:bCs/>
              </w:rPr>
            </w:pPr>
            <w:r w:rsidRPr="00FA289C">
              <w:rPr>
                <w:rFonts w:cstheme="minorHAnsi"/>
                <w:b/>
                <w:bCs/>
              </w:rPr>
              <w:t>Drug</w:t>
            </w:r>
          </w:p>
        </w:tc>
        <w:tc>
          <w:tcPr>
            <w:tcW w:w="930" w:type="pct"/>
            <w:shd w:val="clear" w:color="auto" w:fill="D9E2F3" w:themeFill="accent1" w:themeFillTint="33"/>
            <w:vAlign w:val="center"/>
          </w:tcPr>
          <w:p w14:paraId="500AC93B" w14:textId="77777777" w:rsidR="007A0564" w:rsidRPr="00FA289C" w:rsidRDefault="007A0564" w:rsidP="00467ED3">
            <w:pPr>
              <w:suppressLineNumbers/>
              <w:jc w:val="center"/>
              <w:rPr>
                <w:rFonts w:cstheme="minorHAnsi"/>
                <w:b/>
                <w:bCs/>
              </w:rPr>
            </w:pPr>
            <w:r w:rsidRPr="00FA289C">
              <w:rPr>
                <w:rFonts w:cstheme="minorHAnsi"/>
                <w:b/>
                <w:bCs/>
              </w:rPr>
              <w:t>Type</w:t>
            </w:r>
          </w:p>
        </w:tc>
        <w:tc>
          <w:tcPr>
            <w:tcW w:w="697" w:type="pct"/>
            <w:shd w:val="clear" w:color="auto" w:fill="D9E2F3" w:themeFill="accent1" w:themeFillTint="33"/>
            <w:vAlign w:val="center"/>
          </w:tcPr>
          <w:p w14:paraId="48D6B406" w14:textId="77777777" w:rsidR="007A0564" w:rsidRPr="00FA289C" w:rsidRDefault="007A0564" w:rsidP="00467ED3">
            <w:pPr>
              <w:suppressLineNumbers/>
              <w:jc w:val="center"/>
              <w:rPr>
                <w:rFonts w:cstheme="minorHAnsi"/>
                <w:b/>
                <w:bCs/>
              </w:rPr>
            </w:pPr>
            <w:r w:rsidRPr="00FA289C">
              <w:rPr>
                <w:rFonts w:cstheme="minorHAnsi"/>
                <w:b/>
                <w:bCs/>
              </w:rPr>
              <w:t>Strength</w:t>
            </w:r>
          </w:p>
        </w:tc>
        <w:tc>
          <w:tcPr>
            <w:tcW w:w="1145" w:type="pct"/>
            <w:shd w:val="clear" w:color="auto" w:fill="D9E2F3" w:themeFill="accent1" w:themeFillTint="33"/>
            <w:vAlign w:val="center"/>
          </w:tcPr>
          <w:p w14:paraId="33BE0B90" w14:textId="77777777" w:rsidR="004B0E6A" w:rsidRDefault="007A0564" w:rsidP="00467ED3">
            <w:pPr>
              <w:suppressLineNumbers/>
              <w:jc w:val="center"/>
              <w:rPr>
                <w:rFonts w:cstheme="minorHAnsi"/>
                <w:b/>
                <w:bCs/>
              </w:rPr>
            </w:pPr>
            <w:r>
              <w:rPr>
                <w:rFonts w:cstheme="minorHAnsi"/>
                <w:b/>
                <w:bCs/>
              </w:rPr>
              <w:t>Number of prescribed items</w:t>
            </w:r>
            <w:r w:rsidR="005B6234">
              <w:rPr>
                <w:rFonts w:cstheme="minorHAnsi"/>
                <w:b/>
                <w:bCs/>
              </w:rPr>
              <w:t xml:space="preserve"> </w:t>
            </w:r>
          </w:p>
          <w:p w14:paraId="791BD996" w14:textId="35EF2DD5" w:rsidR="007A0564" w:rsidRPr="00FA289C" w:rsidRDefault="005B6234" w:rsidP="00467ED3">
            <w:pPr>
              <w:suppressLineNumbers/>
              <w:jc w:val="center"/>
              <w:rPr>
                <w:rFonts w:cstheme="minorHAnsi"/>
                <w:b/>
                <w:bCs/>
              </w:rPr>
            </w:pPr>
            <w:r>
              <w:rPr>
                <w:rFonts w:cstheme="minorHAnsi"/>
                <w:b/>
                <w:bCs/>
              </w:rPr>
              <w:t>(%</w:t>
            </w:r>
            <w:r w:rsidR="00222565">
              <w:rPr>
                <w:rFonts w:cstheme="minorHAnsi"/>
                <w:b/>
                <w:bCs/>
              </w:rPr>
              <w:t xml:space="preserve"> of total</w:t>
            </w:r>
            <w:r>
              <w:rPr>
                <w:rFonts w:cstheme="minorHAnsi"/>
                <w:b/>
                <w:bCs/>
              </w:rPr>
              <w:t>)</w:t>
            </w:r>
          </w:p>
        </w:tc>
      </w:tr>
      <w:tr w:rsidR="00683503" w14:paraId="601D0DA1" w14:textId="77777777" w:rsidTr="00683503">
        <w:tc>
          <w:tcPr>
            <w:tcW w:w="5000" w:type="pct"/>
            <w:gridSpan w:val="4"/>
            <w:vAlign w:val="center"/>
          </w:tcPr>
          <w:p w14:paraId="0C2E1D0C" w14:textId="43C58326" w:rsidR="00683503" w:rsidRPr="00D235AA" w:rsidRDefault="00683503" w:rsidP="00683503">
            <w:pPr>
              <w:suppressLineNumbers/>
              <w:rPr>
                <w:rFonts w:cstheme="minorHAnsi"/>
              </w:rPr>
            </w:pPr>
            <w:r w:rsidRPr="00683503">
              <w:rPr>
                <w:rFonts w:cstheme="minorHAnsi"/>
                <w:b/>
                <w:bCs/>
              </w:rPr>
              <w:t>Opioids</w:t>
            </w:r>
            <w:r w:rsidR="00D235AA">
              <w:rPr>
                <w:rFonts w:cstheme="minorHAnsi"/>
                <w:b/>
                <w:bCs/>
              </w:rPr>
              <w:t xml:space="preserve"> </w:t>
            </w:r>
            <w:r w:rsidR="00D235AA">
              <w:rPr>
                <w:rFonts w:cstheme="minorHAnsi"/>
              </w:rPr>
              <w:t>(total</w:t>
            </w:r>
            <w:r w:rsidR="00B2312D">
              <w:rPr>
                <w:rFonts w:cstheme="minorHAnsi"/>
              </w:rPr>
              <w:t>: 91,210,542</w:t>
            </w:r>
            <w:r w:rsidR="00154782">
              <w:rPr>
                <w:rFonts w:cstheme="minorHAnsi"/>
              </w:rPr>
              <w:t xml:space="preserve"> items</w:t>
            </w:r>
            <w:r w:rsidR="00B2312D">
              <w:rPr>
                <w:rFonts w:cstheme="minorHAnsi"/>
              </w:rPr>
              <w:t>)</w:t>
            </w:r>
            <w:r w:rsidR="00D235AA">
              <w:rPr>
                <w:rFonts w:cstheme="minorHAnsi"/>
              </w:rPr>
              <w:t xml:space="preserve"> </w:t>
            </w:r>
          </w:p>
        </w:tc>
      </w:tr>
      <w:tr w:rsidR="00D835DF" w14:paraId="65D95298" w14:textId="77777777" w:rsidTr="002B75A3">
        <w:tc>
          <w:tcPr>
            <w:tcW w:w="2228" w:type="pct"/>
          </w:tcPr>
          <w:p w14:paraId="3CBAA24C" w14:textId="3FC24C32" w:rsidR="00D835DF" w:rsidRPr="00FA289C" w:rsidRDefault="00D835DF" w:rsidP="00683503">
            <w:pPr>
              <w:suppressLineNumbers/>
              <w:ind w:firstLine="164"/>
              <w:rPr>
                <w:rFonts w:cstheme="minorHAnsi"/>
              </w:rPr>
            </w:pPr>
            <w:r w:rsidRPr="00FA289C">
              <w:rPr>
                <w:rFonts w:cstheme="minorHAnsi"/>
              </w:rPr>
              <w:t>Co-codamol</w:t>
            </w:r>
          </w:p>
        </w:tc>
        <w:tc>
          <w:tcPr>
            <w:tcW w:w="930" w:type="pct"/>
            <w:vAlign w:val="center"/>
          </w:tcPr>
          <w:p w14:paraId="5EF120F6" w14:textId="1233B0B9" w:rsidR="00D835DF" w:rsidRPr="00FA289C" w:rsidRDefault="00D835DF" w:rsidP="00D835DF">
            <w:pPr>
              <w:suppressLineNumbers/>
              <w:jc w:val="center"/>
              <w:rPr>
                <w:rFonts w:cstheme="minorHAnsi"/>
              </w:rPr>
            </w:pPr>
            <w:r w:rsidRPr="00FA289C">
              <w:rPr>
                <w:rFonts w:cstheme="minorHAnsi"/>
              </w:rPr>
              <w:t>Combination</w:t>
            </w:r>
          </w:p>
        </w:tc>
        <w:tc>
          <w:tcPr>
            <w:tcW w:w="697" w:type="pct"/>
            <w:vAlign w:val="center"/>
          </w:tcPr>
          <w:p w14:paraId="638A7806" w14:textId="640F721C" w:rsidR="00D835DF" w:rsidRPr="00FA289C" w:rsidRDefault="00D835DF" w:rsidP="00D835DF">
            <w:pPr>
              <w:suppressLineNumbers/>
              <w:jc w:val="center"/>
              <w:rPr>
                <w:rFonts w:cstheme="minorHAnsi"/>
              </w:rPr>
            </w:pPr>
            <w:r w:rsidRPr="00FA289C">
              <w:rPr>
                <w:rFonts w:cstheme="minorHAnsi"/>
              </w:rPr>
              <w:t>Weak</w:t>
            </w:r>
          </w:p>
        </w:tc>
        <w:tc>
          <w:tcPr>
            <w:tcW w:w="1145" w:type="pct"/>
          </w:tcPr>
          <w:p w14:paraId="522B6548" w14:textId="669F7099" w:rsidR="00D835DF" w:rsidRPr="00FA289C" w:rsidRDefault="00DD4548" w:rsidP="00D835DF">
            <w:pPr>
              <w:suppressLineNumbers/>
              <w:jc w:val="center"/>
              <w:rPr>
                <w:rFonts w:cstheme="minorHAnsi"/>
              </w:rPr>
            </w:pPr>
            <w:r>
              <w:rPr>
                <w:rFonts w:cstheme="minorHAnsi"/>
              </w:rPr>
              <w:t>40,099,832</w:t>
            </w:r>
            <w:r w:rsidR="005B6234">
              <w:rPr>
                <w:rFonts w:cstheme="minorHAnsi"/>
              </w:rPr>
              <w:t xml:space="preserve"> (</w:t>
            </w:r>
            <w:r w:rsidR="002B75A3">
              <w:rPr>
                <w:rFonts w:cstheme="minorHAnsi"/>
              </w:rPr>
              <w:t>44.0)</w:t>
            </w:r>
          </w:p>
        </w:tc>
      </w:tr>
      <w:tr w:rsidR="002B75A3" w14:paraId="4703F12F" w14:textId="77777777" w:rsidTr="002B75A3">
        <w:tc>
          <w:tcPr>
            <w:tcW w:w="2228" w:type="pct"/>
          </w:tcPr>
          <w:p w14:paraId="2A299049" w14:textId="698DBC9A" w:rsidR="002B75A3" w:rsidRPr="00FA289C" w:rsidRDefault="002B75A3" w:rsidP="00683503">
            <w:pPr>
              <w:suppressLineNumbers/>
              <w:ind w:firstLine="164"/>
              <w:rPr>
                <w:rFonts w:cstheme="minorHAnsi"/>
              </w:rPr>
            </w:pPr>
            <w:r w:rsidRPr="00FA289C">
              <w:rPr>
                <w:rFonts w:cstheme="minorHAnsi"/>
              </w:rPr>
              <w:t>Tramadol hydrochloride</w:t>
            </w:r>
          </w:p>
        </w:tc>
        <w:tc>
          <w:tcPr>
            <w:tcW w:w="930" w:type="pct"/>
            <w:vAlign w:val="center"/>
          </w:tcPr>
          <w:p w14:paraId="17910F32" w14:textId="7D895E92" w:rsidR="002B75A3" w:rsidRPr="00FA289C" w:rsidRDefault="002B75A3" w:rsidP="002B75A3">
            <w:pPr>
              <w:suppressLineNumbers/>
              <w:jc w:val="center"/>
              <w:rPr>
                <w:rFonts w:cstheme="minorHAnsi"/>
              </w:rPr>
            </w:pPr>
            <w:r w:rsidRPr="00FA289C">
              <w:rPr>
                <w:rFonts w:cstheme="minorHAnsi"/>
              </w:rPr>
              <w:t>Single</w:t>
            </w:r>
          </w:p>
        </w:tc>
        <w:tc>
          <w:tcPr>
            <w:tcW w:w="697" w:type="pct"/>
            <w:vAlign w:val="center"/>
          </w:tcPr>
          <w:p w14:paraId="3300C05D" w14:textId="19FE0632" w:rsidR="002B75A3" w:rsidRPr="00FA289C" w:rsidRDefault="002B75A3" w:rsidP="002B75A3">
            <w:pPr>
              <w:suppressLineNumbers/>
              <w:jc w:val="center"/>
              <w:rPr>
                <w:rFonts w:cstheme="minorHAnsi"/>
              </w:rPr>
            </w:pPr>
            <w:r w:rsidRPr="00FA289C">
              <w:rPr>
                <w:rFonts w:cstheme="minorHAnsi"/>
              </w:rPr>
              <w:t>Weak</w:t>
            </w:r>
          </w:p>
        </w:tc>
        <w:tc>
          <w:tcPr>
            <w:tcW w:w="1145" w:type="pct"/>
          </w:tcPr>
          <w:p w14:paraId="3EE08966" w14:textId="180826F1" w:rsidR="002B75A3" w:rsidRPr="00FA289C" w:rsidRDefault="002B75A3" w:rsidP="002B75A3">
            <w:pPr>
              <w:suppressLineNumbers/>
              <w:jc w:val="center"/>
              <w:rPr>
                <w:rFonts w:cstheme="minorHAnsi"/>
              </w:rPr>
            </w:pPr>
            <w:r>
              <w:rPr>
                <w:rFonts w:cstheme="minorHAnsi"/>
              </w:rPr>
              <w:t>14,350</w:t>
            </w:r>
            <w:r w:rsidR="00CF3954">
              <w:rPr>
                <w:rFonts w:cstheme="minorHAnsi"/>
              </w:rPr>
              <w:t>,361 (15.7)</w:t>
            </w:r>
          </w:p>
        </w:tc>
      </w:tr>
      <w:tr w:rsidR="00CF3954" w14:paraId="3EAC8C2A" w14:textId="77777777" w:rsidTr="00C41A3E">
        <w:tc>
          <w:tcPr>
            <w:tcW w:w="2228" w:type="pct"/>
          </w:tcPr>
          <w:p w14:paraId="22BAB666" w14:textId="7A7F1C0A" w:rsidR="00CF3954" w:rsidRPr="00FA289C" w:rsidRDefault="00CF3954" w:rsidP="00683503">
            <w:pPr>
              <w:suppressLineNumbers/>
              <w:ind w:firstLine="164"/>
              <w:rPr>
                <w:rFonts w:cstheme="minorHAnsi"/>
              </w:rPr>
            </w:pPr>
            <w:r w:rsidRPr="00FA289C">
              <w:rPr>
                <w:rFonts w:cstheme="minorHAnsi"/>
              </w:rPr>
              <w:t>Co-dydramol</w:t>
            </w:r>
          </w:p>
        </w:tc>
        <w:tc>
          <w:tcPr>
            <w:tcW w:w="930" w:type="pct"/>
          </w:tcPr>
          <w:p w14:paraId="6FF41F06" w14:textId="7963968D" w:rsidR="00CF3954" w:rsidRPr="00FA289C" w:rsidRDefault="00CF3954" w:rsidP="00CF3954">
            <w:pPr>
              <w:suppressLineNumbers/>
              <w:jc w:val="center"/>
              <w:rPr>
                <w:rFonts w:cstheme="minorHAnsi"/>
              </w:rPr>
            </w:pPr>
            <w:r w:rsidRPr="00FA289C">
              <w:rPr>
                <w:rFonts w:cstheme="minorHAnsi"/>
              </w:rPr>
              <w:t>Combination</w:t>
            </w:r>
          </w:p>
        </w:tc>
        <w:tc>
          <w:tcPr>
            <w:tcW w:w="697" w:type="pct"/>
            <w:vAlign w:val="center"/>
          </w:tcPr>
          <w:p w14:paraId="03571D53" w14:textId="7C93A737" w:rsidR="00CF3954" w:rsidRPr="00FA289C" w:rsidRDefault="00CF3954" w:rsidP="00CF3954">
            <w:pPr>
              <w:suppressLineNumbers/>
              <w:jc w:val="center"/>
              <w:rPr>
                <w:rFonts w:cstheme="minorHAnsi"/>
              </w:rPr>
            </w:pPr>
            <w:r w:rsidRPr="00FA289C">
              <w:rPr>
                <w:rFonts w:cstheme="minorHAnsi"/>
              </w:rPr>
              <w:t>Weak</w:t>
            </w:r>
          </w:p>
        </w:tc>
        <w:tc>
          <w:tcPr>
            <w:tcW w:w="1145" w:type="pct"/>
          </w:tcPr>
          <w:p w14:paraId="400C9B3F" w14:textId="0086D855" w:rsidR="00CF3954" w:rsidRPr="00FA289C" w:rsidRDefault="006F2A1F" w:rsidP="00CF3954">
            <w:pPr>
              <w:suppressLineNumbers/>
              <w:jc w:val="center"/>
              <w:rPr>
                <w:rFonts w:cstheme="minorHAnsi"/>
              </w:rPr>
            </w:pPr>
            <w:r>
              <w:rPr>
                <w:rFonts w:cstheme="minorHAnsi"/>
              </w:rPr>
              <w:t>7,</w:t>
            </w:r>
            <w:r w:rsidR="00C43AA6">
              <w:rPr>
                <w:rFonts w:cstheme="minorHAnsi"/>
              </w:rPr>
              <w:t>430,818 (8.1)</w:t>
            </w:r>
          </w:p>
        </w:tc>
      </w:tr>
      <w:tr w:rsidR="00C43AA6" w14:paraId="519D5964" w14:textId="77777777" w:rsidTr="002B75A3">
        <w:tc>
          <w:tcPr>
            <w:tcW w:w="2228" w:type="pct"/>
          </w:tcPr>
          <w:p w14:paraId="28760B6E" w14:textId="45EA14B1" w:rsidR="00C43AA6" w:rsidRPr="00FA289C" w:rsidRDefault="00C43AA6" w:rsidP="00683503">
            <w:pPr>
              <w:suppressLineNumbers/>
              <w:ind w:firstLine="164"/>
              <w:rPr>
                <w:rFonts w:cstheme="minorHAnsi"/>
              </w:rPr>
            </w:pPr>
            <w:r w:rsidRPr="00FA289C">
              <w:rPr>
                <w:rFonts w:cstheme="minorHAnsi"/>
              </w:rPr>
              <w:t>Dihydrocodeine</w:t>
            </w:r>
          </w:p>
        </w:tc>
        <w:tc>
          <w:tcPr>
            <w:tcW w:w="930" w:type="pct"/>
            <w:vAlign w:val="center"/>
          </w:tcPr>
          <w:p w14:paraId="53A14238" w14:textId="068825BC" w:rsidR="00C43AA6" w:rsidRPr="00FA289C" w:rsidRDefault="00C43AA6" w:rsidP="00C43AA6">
            <w:pPr>
              <w:suppressLineNumbers/>
              <w:jc w:val="center"/>
              <w:rPr>
                <w:rFonts w:cstheme="minorHAnsi"/>
              </w:rPr>
            </w:pPr>
            <w:r w:rsidRPr="00FA289C">
              <w:rPr>
                <w:rFonts w:cstheme="minorHAnsi"/>
              </w:rPr>
              <w:t>Single</w:t>
            </w:r>
          </w:p>
        </w:tc>
        <w:tc>
          <w:tcPr>
            <w:tcW w:w="697" w:type="pct"/>
            <w:vAlign w:val="center"/>
          </w:tcPr>
          <w:p w14:paraId="6C762E37" w14:textId="301C3EDE" w:rsidR="00C43AA6" w:rsidRPr="00FA289C" w:rsidRDefault="00C43AA6" w:rsidP="00C43AA6">
            <w:pPr>
              <w:suppressLineNumbers/>
              <w:jc w:val="center"/>
              <w:rPr>
                <w:rFonts w:cstheme="minorHAnsi"/>
              </w:rPr>
            </w:pPr>
            <w:r w:rsidRPr="00FA289C">
              <w:rPr>
                <w:rFonts w:cstheme="minorHAnsi"/>
              </w:rPr>
              <w:t>Weak</w:t>
            </w:r>
          </w:p>
        </w:tc>
        <w:tc>
          <w:tcPr>
            <w:tcW w:w="1145" w:type="pct"/>
          </w:tcPr>
          <w:p w14:paraId="0CD7E5F3" w14:textId="4982B15E" w:rsidR="00C43AA6" w:rsidRPr="00FA289C" w:rsidRDefault="00C43AA6" w:rsidP="00C43AA6">
            <w:pPr>
              <w:suppressLineNumbers/>
              <w:jc w:val="center"/>
              <w:rPr>
                <w:rFonts w:cstheme="minorHAnsi"/>
              </w:rPr>
            </w:pPr>
            <w:r>
              <w:rPr>
                <w:rFonts w:cstheme="minorHAnsi"/>
              </w:rPr>
              <w:t>7,200,128 (7.9)</w:t>
            </w:r>
          </w:p>
        </w:tc>
      </w:tr>
      <w:tr w:rsidR="0073240E" w14:paraId="6A671A16" w14:textId="77777777" w:rsidTr="002B75A3">
        <w:tc>
          <w:tcPr>
            <w:tcW w:w="2228" w:type="pct"/>
          </w:tcPr>
          <w:p w14:paraId="72552C2A" w14:textId="4028A6D6" w:rsidR="0073240E" w:rsidRPr="00FA289C" w:rsidRDefault="0073240E" w:rsidP="00683503">
            <w:pPr>
              <w:suppressLineNumbers/>
              <w:ind w:firstLine="164"/>
              <w:rPr>
                <w:rFonts w:cstheme="minorHAnsi"/>
              </w:rPr>
            </w:pPr>
            <w:r w:rsidRPr="00FA289C">
              <w:rPr>
                <w:rFonts w:cstheme="minorHAnsi"/>
              </w:rPr>
              <w:t>Methadone</w:t>
            </w:r>
          </w:p>
        </w:tc>
        <w:tc>
          <w:tcPr>
            <w:tcW w:w="930" w:type="pct"/>
            <w:vAlign w:val="center"/>
          </w:tcPr>
          <w:p w14:paraId="488C31CE" w14:textId="6C9A63F2" w:rsidR="0073240E" w:rsidRPr="00FA289C" w:rsidRDefault="0073240E" w:rsidP="0073240E">
            <w:pPr>
              <w:suppressLineNumbers/>
              <w:jc w:val="center"/>
              <w:rPr>
                <w:rFonts w:cstheme="minorHAnsi"/>
              </w:rPr>
            </w:pPr>
            <w:r w:rsidRPr="00FA289C">
              <w:rPr>
                <w:rFonts w:cstheme="minorHAnsi"/>
              </w:rPr>
              <w:t>Single</w:t>
            </w:r>
          </w:p>
        </w:tc>
        <w:tc>
          <w:tcPr>
            <w:tcW w:w="697" w:type="pct"/>
            <w:vAlign w:val="center"/>
          </w:tcPr>
          <w:p w14:paraId="455F9110" w14:textId="79F935F1" w:rsidR="0073240E" w:rsidRPr="00FA289C" w:rsidRDefault="0073240E" w:rsidP="0073240E">
            <w:pPr>
              <w:suppressLineNumbers/>
              <w:jc w:val="center"/>
              <w:rPr>
                <w:rFonts w:cstheme="minorHAnsi"/>
              </w:rPr>
            </w:pPr>
            <w:r w:rsidRPr="00FA289C">
              <w:rPr>
                <w:rFonts w:cstheme="minorHAnsi"/>
              </w:rPr>
              <w:t>Strong</w:t>
            </w:r>
          </w:p>
        </w:tc>
        <w:tc>
          <w:tcPr>
            <w:tcW w:w="1145" w:type="pct"/>
          </w:tcPr>
          <w:p w14:paraId="7E4CFBDC" w14:textId="1F35B7EF" w:rsidR="0073240E" w:rsidRPr="00FA289C" w:rsidRDefault="0073240E" w:rsidP="0073240E">
            <w:pPr>
              <w:suppressLineNumbers/>
              <w:jc w:val="center"/>
              <w:rPr>
                <w:rFonts w:cstheme="minorHAnsi"/>
              </w:rPr>
            </w:pPr>
            <w:r>
              <w:rPr>
                <w:rFonts w:cstheme="minorHAnsi"/>
              </w:rPr>
              <w:t>7,184,903 (7.9)</w:t>
            </w:r>
          </w:p>
        </w:tc>
      </w:tr>
      <w:tr w:rsidR="0073240E" w14:paraId="7125E87F" w14:textId="77777777" w:rsidTr="002B75A3">
        <w:tc>
          <w:tcPr>
            <w:tcW w:w="2228" w:type="pct"/>
          </w:tcPr>
          <w:p w14:paraId="57C1E6FC" w14:textId="47833D6B" w:rsidR="0073240E" w:rsidRPr="00FA289C" w:rsidRDefault="0073240E" w:rsidP="00683503">
            <w:pPr>
              <w:suppressLineNumbers/>
              <w:ind w:firstLine="164"/>
              <w:rPr>
                <w:rFonts w:cstheme="minorHAnsi"/>
              </w:rPr>
            </w:pPr>
            <w:r w:rsidRPr="00FA289C">
              <w:rPr>
                <w:rFonts w:cstheme="minorHAnsi"/>
              </w:rPr>
              <w:t>Morphine</w:t>
            </w:r>
          </w:p>
        </w:tc>
        <w:tc>
          <w:tcPr>
            <w:tcW w:w="930" w:type="pct"/>
            <w:vAlign w:val="center"/>
          </w:tcPr>
          <w:p w14:paraId="44C72FCF" w14:textId="10D81A79" w:rsidR="0073240E" w:rsidRPr="00FA289C" w:rsidRDefault="0073240E" w:rsidP="0073240E">
            <w:pPr>
              <w:suppressLineNumbers/>
              <w:jc w:val="center"/>
              <w:rPr>
                <w:rFonts w:cstheme="minorHAnsi"/>
              </w:rPr>
            </w:pPr>
            <w:r w:rsidRPr="00FA289C">
              <w:rPr>
                <w:rFonts w:cstheme="minorHAnsi"/>
              </w:rPr>
              <w:t>Single</w:t>
            </w:r>
          </w:p>
        </w:tc>
        <w:tc>
          <w:tcPr>
            <w:tcW w:w="697" w:type="pct"/>
            <w:vAlign w:val="center"/>
          </w:tcPr>
          <w:p w14:paraId="2881DF02" w14:textId="4D7C5D50" w:rsidR="0073240E" w:rsidRPr="00FA289C" w:rsidRDefault="0073240E" w:rsidP="0073240E">
            <w:pPr>
              <w:suppressLineNumbers/>
              <w:jc w:val="center"/>
              <w:rPr>
                <w:rFonts w:cstheme="minorHAnsi"/>
              </w:rPr>
            </w:pPr>
            <w:r w:rsidRPr="00FA289C">
              <w:rPr>
                <w:rFonts w:cstheme="minorHAnsi"/>
              </w:rPr>
              <w:t>Strong</w:t>
            </w:r>
          </w:p>
        </w:tc>
        <w:tc>
          <w:tcPr>
            <w:tcW w:w="1145" w:type="pct"/>
          </w:tcPr>
          <w:p w14:paraId="19551C28" w14:textId="3EC90179" w:rsidR="0073240E" w:rsidRPr="00FA289C" w:rsidRDefault="00A03413" w:rsidP="0073240E">
            <w:pPr>
              <w:suppressLineNumbers/>
              <w:jc w:val="center"/>
              <w:rPr>
                <w:rFonts w:cstheme="minorHAnsi"/>
              </w:rPr>
            </w:pPr>
            <w:r>
              <w:rPr>
                <w:rFonts w:cstheme="minorHAnsi"/>
              </w:rPr>
              <w:t>5,554,778 (6.1)</w:t>
            </w:r>
          </w:p>
        </w:tc>
      </w:tr>
      <w:tr w:rsidR="00A03413" w14:paraId="16A4A5F8" w14:textId="77777777" w:rsidTr="002B75A3">
        <w:tc>
          <w:tcPr>
            <w:tcW w:w="2228" w:type="pct"/>
          </w:tcPr>
          <w:p w14:paraId="15C95BA3" w14:textId="485B3D5D" w:rsidR="00A03413" w:rsidRPr="00FA289C" w:rsidRDefault="00A03413" w:rsidP="00683503">
            <w:pPr>
              <w:suppressLineNumbers/>
              <w:ind w:firstLine="164"/>
              <w:rPr>
                <w:rFonts w:cstheme="minorHAnsi"/>
              </w:rPr>
            </w:pPr>
            <w:r w:rsidRPr="00FA289C">
              <w:rPr>
                <w:rFonts w:cstheme="minorHAnsi"/>
              </w:rPr>
              <w:t>Oxycodone</w:t>
            </w:r>
          </w:p>
        </w:tc>
        <w:tc>
          <w:tcPr>
            <w:tcW w:w="930" w:type="pct"/>
            <w:vAlign w:val="center"/>
          </w:tcPr>
          <w:p w14:paraId="68CD42DF" w14:textId="6F4DE210" w:rsidR="00A03413" w:rsidRPr="00FA289C" w:rsidRDefault="00A03413" w:rsidP="00A03413">
            <w:pPr>
              <w:suppressLineNumbers/>
              <w:jc w:val="center"/>
              <w:rPr>
                <w:rFonts w:cstheme="minorHAnsi"/>
              </w:rPr>
            </w:pPr>
            <w:r w:rsidRPr="00FA289C">
              <w:rPr>
                <w:rFonts w:cstheme="minorHAnsi"/>
              </w:rPr>
              <w:t>Single</w:t>
            </w:r>
          </w:p>
        </w:tc>
        <w:tc>
          <w:tcPr>
            <w:tcW w:w="697" w:type="pct"/>
            <w:vAlign w:val="center"/>
          </w:tcPr>
          <w:p w14:paraId="258B49DE" w14:textId="19E67261" w:rsidR="00A03413" w:rsidRPr="00FA289C" w:rsidRDefault="00A03413" w:rsidP="00A03413">
            <w:pPr>
              <w:suppressLineNumbers/>
              <w:jc w:val="center"/>
              <w:rPr>
                <w:rFonts w:cstheme="minorHAnsi"/>
              </w:rPr>
            </w:pPr>
            <w:r w:rsidRPr="00FA289C">
              <w:rPr>
                <w:rFonts w:cstheme="minorHAnsi"/>
              </w:rPr>
              <w:t>Strong</w:t>
            </w:r>
          </w:p>
        </w:tc>
        <w:tc>
          <w:tcPr>
            <w:tcW w:w="1145" w:type="pct"/>
          </w:tcPr>
          <w:p w14:paraId="6B9D8FDB" w14:textId="4D8B3383" w:rsidR="00A03413" w:rsidRPr="00FA289C" w:rsidRDefault="00FD17B4" w:rsidP="00A03413">
            <w:pPr>
              <w:suppressLineNumbers/>
              <w:jc w:val="center"/>
              <w:rPr>
                <w:rFonts w:cstheme="minorHAnsi"/>
              </w:rPr>
            </w:pPr>
            <w:r>
              <w:rPr>
                <w:rFonts w:cstheme="minorHAnsi"/>
              </w:rPr>
              <w:t>2,</w:t>
            </w:r>
            <w:r w:rsidR="009005AE">
              <w:rPr>
                <w:rFonts w:cstheme="minorHAnsi"/>
              </w:rPr>
              <w:t>717,417 (3.0)</w:t>
            </w:r>
          </w:p>
        </w:tc>
      </w:tr>
      <w:tr w:rsidR="009005AE" w14:paraId="28C0B34E" w14:textId="77777777" w:rsidTr="002B75A3">
        <w:tc>
          <w:tcPr>
            <w:tcW w:w="2228" w:type="pct"/>
          </w:tcPr>
          <w:p w14:paraId="70D50CB3" w14:textId="72954617" w:rsidR="009005AE" w:rsidRPr="00FA289C" w:rsidRDefault="009005AE" w:rsidP="00683503">
            <w:pPr>
              <w:suppressLineNumbers/>
              <w:ind w:firstLine="164"/>
              <w:rPr>
                <w:rFonts w:cstheme="minorHAnsi"/>
              </w:rPr>
            </w:pPr>
            <w:r w:rsidRPr="00FA289C">
              <w:rPr>
                <w:rFonts w:cstheme="minorHAnsi"/>
              </w:rPr>
              <w:t>Codeine</w:t>
            </w:r>
          </w:p>
        </w:tc>
        <w:tc>
          <w:tcPr>
            <w:tcW w:w="930" w:type="pct"/>
            <w:vAlign w:val="center"/>
          </w:tcPr>
          <w:p w14:paraId="38551B26" w14:textId="060D66AA" w:rsidR="009005AE" w:rsidRPr="00FA289C" w:rsidRDefault="009005AE" w:rsidP="009005AE">
            <w:pPr>
              <w:suppressLineNumbers/>
              <w:jc w:val="center"/>
              <w:rPr>
                <w:rFonts w:cstheme="minorHAnsi"/>
              </w:rPr>
            </w:pPr>
            <w:r w:rsidRPr="00FA289C">
              <w:rPr>
                <w:rFonts w:cstheme="minorHAnsi"/>
              </w:rPr>
              <w:t>Single</w:t>
            </w:r>
          </w:p>
        </w:tc>
        <w:tc>
          <w:tcPr>
            <w:tcW w:w="697" w:type="pct"/>
            <w:vAlign w:val="center"/>
          </w:tcPr>
          <w:p w14:paraId="33FF5ED7" w14:textId="4B28323E" w:rsidR="009005AE" w:rsidRPr="00FA289C" w:rsidRDefault="009005AE" w:rsidP="009005AE">
            <w:pPr>
              <w:suppressLineNumbers/>
              <w:jc w:val="center"/>
              <w:rPr>
                <w:rFonts w:cstheme="minorHAnsi"/>
              </w:rPr>
            </w:pPr>
            <w:r w:rsidRPr="00FA289C">
              <w:rPr>
                <w:rFonts w:cstheme="minorHAnsi"/>
              </w:rPr>
              <w:t>Weak</w:t>
            </w:r>
          </w:p>
        </w:tc>
        <w:tc>
          <w:tcPr>
            <w:tcW w:w="1145" w:type="pct"/>
          </w:tcPr>
          <w:p w14:paraId="66E6365E" w14:textId="4926F7F0" w:rsidR="009005AE" w:rsidRPr="00FA289C" w:rsidRDefault="009005AE" w:rsidP="009005AE">
            <w:pPr>
              <w:suppressLineNumbers/>
              <w:jc w:val="center"/>
              <w:rPr>
                <w:rFonts w:cstheme="minorHAnsi"/>
              </w:rPr>
            </w:pPr>
            <w:r>
              <w:rPr>
                <w:rFonts w:cstheme="minorHAnsi"/>
              </w:rPr>
              <w:t>2,</w:t>
            </w:r>
            <w:r w:rsidR="00BC7BC1">
              <w:rPr>
                <w:rFonts w:cstheme="minorHAnsi"/>
              </w:rPr>
              <w:t>297,259 (2.5)</w:t>
            </w:r>
          </w:p>
        </w:tc>
      </w:tr>
      <w:tr w:rsidR="00632B87" w14:paraId="6F37288D" w14:textId="77777777" w:rsidTr="002B75A3">
        <w:tc>
          <w:tcPr>
            <w:tcW w:w="2228" w:type="pct"/>
          </w:tcPr>
          <w:p w14:paraId="27AE5A82" w14:textId="7C00C7F1" w:rsidR="00632B87" w:rsidRPr="00FA289C" w:rsidRDefault="00632B87" w:rsidP="00683503">
            <w:pPr>
              <w:suppressLineNumbers/>
              <w:ind w:firstLine="164"/>
              <w:rPr>
                <w:rFonts w:cstheme="minorHAnsi"/>
              </w:rPr>
            </w:pPr>
            <w:r w:rsidRPr="00FA289C">
              <w:rPr>
                <w:rFonts w:cstheme="minorHAnsi"/>
              </w:rPr>
              <w:t>Fentanyl</w:t>
            </w:r>
          </w:p>
        </w:tc>
        <w:tc>
          <w:tcPr>
            <w:tcW w:w="930" w:type="pct"/>
            <w:vAlign w:val="center"/>
          </w:tcPr>
          <w:p w14:paraId="66D307AA" w14:textId="45035892" w:rsidR="00632B87" w:rsidRPr="00FA289C" w:rsidRDefault="00632B87" w:rsidP="00632B87">
            <w:pPr>
              <w:suppressLineNumbers/>
              <w:jc w:val="center"/>
              <w:rPr>
                <w:rFonts w:cstheme="minorHAnsi"/>
              </w:rPr>
            </w:pPr>
            <w:r w:rsidRPr="00FA289C">
              <w:rPr>
                <w:rFonts w:cstheme="minorHAnsi"/>
              </w:rPr>
              <w:t>Single</w:t>
            </w:r>
          </w:p>
        </w:tc>
        <w:tc>
          <w:tcPr>
            <w:tcW w:w="697" w:type="pct"/>
            <w:vAlign w:val="center"/>
          </w:tcPr>
          <w:p w14:paraId="48D9E7D0" w14:textId="2C69A1CC" w:rsidR="00632B87" w:rsidRPr="00FA289C" w:rsidRDefault="00632B87" w:rsidP="00632B87">
            <w:pPr>
              <w:suppressLineNumbers/>
              <w:jc w:val="center"/>
              <w:rPr>
                <w:rFonts w:cstheme="minorHAnsi"/>
              </w:rPr>
            </w:pPr>
            <w:r w:rsidRPr="00FA289C">
              <w:rPr>
                <w:rFonts w:cstheme="minorHAnsi"/>
              </w:rPr>
              <w:t>Strong</w:t>
            </w:r>
          </w:p>
        </w:tc>
        <w:tc>
          <w:tcPr>
            <w:tcW w:w="1145" w:type="pct"/>
          </w:tcPr>
          <w:p w14:paraId="6A9EF558" w14:textId="68413FEC" w:rsidR="00632B87" w:rsidRPr="00FA289C" w:rsidRDefault="005A630F" w:rsidP="00632B87">
            <w:pPr>
              <w:suppressLineNumbers/>
              <w:jc w:val="center"/>
              <w:rPr>
                <w:rFonts w:cstheme="minorHAnsi"/>
              </w:rPr>
            </w:pPr>
            <w:r>
              <w:rPr>
                <w:rFonts w:cstheme="minorHAnsi"/>
              </w:rPr>
              <w:t>1,361,855 (1.5)</w:t>
            </w:r>
          </w:p>
        </w:tc>
      </w:tr>
      <w:tr w:rsidR="005A630F" w14:paraId="62CD3C80" w14:textId="77777777" w:rsidTr="002B75A3">
        <w:tc>
          <w:tcPr>
            <w:tcW w:w="2228" w:type="pct"/>
          </w:tcPr>
          <w:p w14:paraId="41DEC733" w14:textId="264336F5" w:rsidR="005A630F" w:rsidRPr="00FA289C" w:rsidRDefault="005A630F" w:rsidP="00683503">
            <w:pPr>
              <w:suppressLineNumbers/>
              <w:ind w:firstLine="164"/>
              <w:rPr>
                <w:rFonts w:cstheme="minorHAnsi"/>
              </w:rPr>
            </w:pPr>
            <w:r w:rsidRPr="00FA289C">
              <w:rPr>
                <w:rFonts w:cstheme="minorHAnsi"/>
              </w:rPr>
              <w:t>Buprenorphine</w:t>
            </w:r>
          </w:p>
        </w:tc>
        <w:tc>
          <w:tcPr>
            <w:tcW w:w="930" w:type="pct"/>
            <w:vAlign w:val="center"/>
          </w:tcPr>
          <w:p w14:paraId="1A8CD5F5" w14:textId="7BA01DAE" w:rsidR="005A630F" w:rsidRPr="00FA289C" w:rsidRDefault="005A630F" w:rsidP="005A630F">
            <w:pPr>
              <w:suppressLineNumbers/>
              <w:jc w:val="center"/>
              <w:rPr>
                <w:rFonts w:cstheme="minorHAnsi"/>
              </w:rPr>
            </w:pPr>
            <w:r w:rsidRPr="00FA289C">
              <w:rPr>
                <w:rFonts w:cstheme="minorHAnsi"/>
              </w:rPr>
              <w:t>Single</w:t>
            </w:r>
          </w:p>
        </w:tc>
        <w:tc>
          <w:tcPr>
            <w:tcW w:w="697" w:type="pct"/>
            <w:vAlign w:val="center"/>
          </w:tcPr>
          <w:p w14:paraId="27F8D718" w14:textId="489FA3C2" w:rsidR="005A630F" w:rsidRPr="00FA289C" w:rsidRDefault="005A630F" w:rsidP="005A630F">
            <w:pPr>
              <w:suppressLineNumbers/>
              <w:jc w:val="center"/>
              <w:rPr>
                <w:rFonts w:cstheme="minorHAnsi"/>
              </w:rPr>
            </w:pPr>
            <w:r w:rsidRPr="00FA289C">
              <w:rPr>
                <w:rFonts w:cstheme="minorHAnsi"/>
              </w:rPr>
              <w:t>Strong</w:t>
            </w:r>
          </w:p>
        </w:tc>
        <w:tc>
          <w:tcPr>
            <w:tcW w:w="1145" w:type="pct"/>
          </w:tcPr>
          <w:p w14:paraId="10608B50" w14:textId="6355CBD0" w:rsidR="005A630F" w:rsidRPr="00FA289C" w:rsidRDefault="005A630F" w:rsidP="005A630F">
            <w:pPr>
              <w:suppressLineNumbers/>
              <w:jc w:val="center"/>
              <w:rPr>
                <w:rFonts w:cstheme="minorHAnsi"/>
              </w:rPr>
            </w:pPr>
            <w:r>
              <w:rPr>
                <w:rFonts w:cstheme="minorHAnsi"/>
              </w:rPr>
              <w:t>1,215,</w:t>
            </w:r>
            <w:r w:rsidR="0082758A">
              <w:rPr>
                <w:rFonts w:cstheme="minorHAnsi"/>
              </w:rPr>
              <w:t>554 (1.3)</w:t>
            </w:r>
          </w:p>
        </w:tc>
      </w:tr>
      <w:tr w:rsidR="0082758A" w14:paraId="14EBCFFA" w14:textId="77777777" w:rsidTr="002B75A3">
        <w:tc>
          <w:tcPr>
            <w:tcW w:w="2228" w:type="pct"/>
          </w:tcPr>
          <w:p w14:paraId="0D0BF468" w14:textId="63AEE534" w:rsidR="0082758A" w:rsidRPr="00FA289C" w:rsidRDefault="0082758A" w:rsidP="00683503">
            <w:pPr>
              <w:suppressLineNumbers/>
              <w:ind w:firstLine="164"/>
              <w:rPr>
                <w:rFonts w:cstheme="minorHAnsi"/>
              </w:rPr>
            </w:pPr>
            <w:r w:rsidRPr="00FA289C">
              <w:rPr>
                <w:rFonts w:cstheme="minorHAnsi"/>
              </w:rPr>
              <w:t>Co-codamol with buclizine</w:t>
            </w:r>
          </w:p>
        </w:tc>
        <w:tc>
          <w:tcPr>
            <w:tcW w:w="930" w:type="pct"/>
            <w:vAlign w:val="center"/>
          </w:tcPr>
          <w:p w14:paraId="1EABFFC4" w14:textId="2FAD041E" w:rsidR="0082758A" w:rsidRPr="00FA289C" w:rsidRDefault="0082758A" w:rsidP="0082758A">
            <w:pPr>
              <w:suppressLineNumbers/>
              <w:jc w:val="center"/>
              <w:rPr>
                <w:rFonts w:cstheme="minorHAnsi"/>
              </w:rPr>
            </w:pPr>
            <w:r w:rsidRPr="00FA289C">
              <w:rPr>
                <w:rFonts w:cstheme="minorHAnsi"/>
              </w:rPr>
              <w:t>Combination</w:t>
            </w:r>
          </w:p>
        </w:tc>
        <w:tc>
          <w:tcPr>
            <w:tcW w:w="697" w:type="pct"/>
            <w:vAlign w:val="center"/>
          </w:tcPr>
          <w:p w14:paraId="477FCEB4" w14:textId="1B83CF4A" w:rsidR="0082758A" w:rsidRPr="00FA289C" w:rsidRDefault="0082758A" w:rsidP="0082758A">
            <w:pPr>
              <w:suppressLineNumbers/>
              <w:jc w:val="center"/>
              <w:rPr>
                <w:rFonts w:cstheme="minorHAnsi"/>
              </w:rPr>
            </w:pPr>
            <w:r w:rsidRPr="00FA289C">
              <w:rPr>
                <w:rFonts w:cstheme="minorHAnsi"/>
              </w:rPr>
              <w:t>Weak</w:t>
            </w:r>
          </w:p>
        </w:tc>
        <w:tc>
          <w:tcPr>
            <w:tcW w:w="1145" w:type="pct"/>
          </w:tcPr>
          <w:p w14:paraId="0D29BAB1" w14:textId="149F6F7B" w:rsidR="0082758A" w:rsidRPr="00FA289C" w:rsidRDefault="00353FE0" w:rsidP="0082758A">
            <w:pPr>
              <w:suppressLineNumbers/>
              <w:jc w:val="center"/>
              <w:rPr>
                <w:rFonts w:cstheme="minorHAnsi"/>
              </w:rPr>
            </w:pPr>
            <w:r w:rsidRPr="00353FE0">
              <w:rPr>
                <w:rFonts w:cstheme="minorHAnsi"/>
              </w:rPr>
              <w:t>536,183</w:t>
            </w:r>
            <w:r>
              <w:rPr>
                <w:rFonts w:cstheme="minorHAnsi"/>
              </w:rPr>
              <w:t xml:space="preserve"> (</w:t>
            </w:r>
            <w:r w:rsidR="006159FF">
              <w:rPr>
                <w:rFonts w:cstheme="minorHAnsi"/>
              </w:rPr>
              <w:t>0.6)</w:t>
            </w:r>
          </w:p>
        </w:tc>
      </w:tr>
      <w:tr w:rsidR="006A2047" w14:paraId="17E0DD03" w14:textId="77777777" w:rsidTr="002B75A3">
        <w:tc>
          <w:tcPr>
            <w:tcW w:w="2228" w:type="pct"/>
          </w:tcPr>
          <w:p w14:paraId="4971270F" w14:textId="66AB2CDF" w:rsidR="006A2047" w:rsidRPr="00FA289C" w:rsidRDefault="006A2047" w:rsidP="00683503">
            <w:pPr>
              <w:suppressLineNumbers/>
              <w:ind w:firstLine="164"/>
              <w:rPr>
                <w:rFonts w:cstheme="minorHAnsi"/>
              </w:rPr>
            </w:pPr>
            <w:r w:rsidRPr="00FA289C">
              <w:rPr>
                <w:rFonts w:cstheme="minorHAnsi"/>
              </w:rPr>
              <w:t>Buprenorphine and naloxone</w:t>
            </w:r>
          </w:p>
        </w:tc>
        <w:tc>
          <w:tcPr>
            <w:tcW w:w="930" w:type="pct"/>
            <w:vAlign w:val="center"/>
          </w:tcPr>
          <w:p w14:paraId="14F448B6" w14:textId="4FE546D8" w:rsidR="006A2047" w:rsidRPr="00FA289C" w:rsidRDefault="006A2047" w:rsidP="006A2047">
            <w:pPr>
              <w:suppressLineNumbers/>
              <w:jc w:val="center"/>
              <w:rPr>
                <w:rFonts w:cstheme="minorHAnsi"/>
              </w:rPr>
            </w:pPr>
            <w:r w:rsidRPr="00FA289C">
              <w:rPr>
                <w:rFonts w:cstheme="minorHAnsi"/>
              </w:rPr>
              <w:t>Combination</w:t>
            </w:r>
          </w:p>
        </w:tc>
        <w:tc>
          <w:tcPr>
            <w:tcW w:w="697" w:type="pct"/>
            <w:vAlign w:val="center"/>
          </w:tcPr>
          <w:p w14:paraId="7A9634EC" w14:textId="29DBB286" w:rsidR="006A2047" w:rsidRPr="00FA289C" w:rsidRDefault="006A2047" w:rsidP="006A2047">
            <w:pPr>
              <w:suppressLineNumbers/>
              <w:jc w:val="center"/>
              <w:rPr>
                <w:rFonts w:cstheme="minorHAnsi"/>
              </w:rPr>
            </w:pPr>
            <w:r w:rsidRPr="00FA289C">
              <w:rPr>
                <w:rFonts w:cstheme="minorHAnsi"/>
              </w:rPr>
              <w:t>Strong</w:t>
            </w:r>
          </w:p>
        </w:tc>
        <w:tc>
          <w:tcPr>
            <w:tcW w:w="1145" w:type="pct"/>
          </w:tcPr>
          <w:p w14:paraId="6F793486" w14:textId="04190414" w:rsidR="006A2047" w:rsidRPr="00FA289C" w:rsidRDefault="006159FF" w:rsidP="006A2047">
            <w:pPr>
              <w:suppressLineNumbers/>
              <w:jc w:val="center"/>
              <w:rPr>
                <w:rFonts w:cstheme="minorHAnsi"/>
              </w:rPr>
            </w:pPr>
            <w:r w:rsidRPr="006159FF">
              <w:rPr>
                <w:rFonts w:cstheme="minorHAnsi"/>
              </w:rPr>
              <w:t>512,987</w:t>
            </w:r>
            <w:r>
              <w:rPr>
                <w:rFonts w:cstheme="minorHAnsi"/>
              </w:rPr>
              <w:t xml:space="preserve"> (0.6)</w:t>
            </w:r>
          </w:p>
        </w:tc>
      </w:tr>
      <w:tr w:rsidR="006159FF" w14:paraId="7B0D845E" w14:textId="77777777" w:rsidTr="00C41A3E">
        <w:tc>
          <w:tcPr>
            <w:tcW w:w="2228" w:type="pct"/>
          </w:tcPr>
          <w:p w14:paraId="63DDEDEB" w14:textId="479BD7AD" w:rsidR="006159FF" w:rsidRPr="00FA289C" w:rsidRDefault="006159FF" w:rsidP="00683503">
            <w:pPr>
              <w:suppressLineNumbers/>
              <w:ind w:firstLine="164"/>
              <w:rPr>
                <w:rFonts w:cstheme="minorHAnsi"/>
              </w:rPr>
            </w:pPr>
            <w:r w:rsidRPr="00FA289C">
              <w:rPr>
                <w:rFonts w:cstheme="minorHAnsi"/>
              </w:rPr>
              <w:t>Paracetamol with tramadol</w:t>
            </w:r>
          </w:p>
        </w:tc>
        <w:tc>
          <w:tcPr>
            <w:tcW w:w="930" w:type="pct"/>
          </w:tcPr>
          <w:p w14:paraId="53FD3825" w14:textId="1DA01C32" w:rsidR="006159FF" w:rsidRPr="00FA289C" w:rsidRDefault="006159FF" w:rsidP="006159FF">
            <w:pPr>
              <w:suppressLineNumbers/>
              <w:jc w:val="center"/>
              <w:rPr>
                <w:rFonts w:cstheme="minorHAnsi"/>
              </w:rPr>
            </w:pPr>
            <w:r w:rsidRPr="00FA289C">
              <w:rPr>
                <w:rFonts w:cstheme="minorHAnsi"/>
              </w:rPr>
              <w:t>Combination</w:t>
            </w:r>
          </w:p>
        </w:tc>
        <w:tc>
          <w:tcPr>
            <w:tcW w:w="697" w:type="pct"/>
            <w:vAlign w:val="center"/>
          </w:tcPr>
          <w:p w14:paraId="345FD33C" w14:textId="22666DE7" w:rsidR="006159FF" w:rsidRPr="00FA289C" w:rsidRDefault="006159FF" w:rsidP="006159FF">
            <w:pPr>
              <w:suppressLineNumbers/>
              <w:jc w:val="center"/>
              <w:rPr>
                <w:rFonts w:cstheme="minorHAnsi"/>
              </w:rPr>
            </w:pPr>
            <w:r w:rsidRPr="00FA289C">
              <w:rPr>
                <w:rFonts w:cstheme="minorHAnsi"/>
              </w:rPr>
              <w:t>Weak</w:t>
            </w:r>
          </w:p>
        </w:tc>
        <w:tc>
          <w:tcPr>
            <w:tcW w:w="1145" w:type="pct"/>
          </w:tcPr>
          <w:p w14:paraId="5B377EEF" w14:textId="66AB9714" w:rsidR="006159FF" w:rsidRPr="00FA289C" w:rsidRDefault="00FB45C0" w:rsidP="006159FF">
            <w:pPr>
              <w:suppressLineNumbers/>
              <w:jc w:val="center"/>
              <w:rPr>
                <w:rFonts w:cstheme="minorHAnsi"/>
              </w:rPr>
            </w:pPr>
            <w:r w:rsidRPr="00FB45C0">
              <w:rPr>
                <w:rFonts w:cstheme="minorHAnsi"/>
              </w:rPr>
              <w:t>141,102</w:t>
            </w:r>
            <w:r>
              <w:rPr>
                <w:rFonts w:cstheme="minorHAnsi"/>
              </w:rPr>
              <w:t xml:space="preserve"> (0.2)</w:t>
            </w:r>
          </w:p>
        </w:tc>
      </w:tr>
      <w:tr w:rsidR="00FB45C0" w14:paraId="62E7B3AC" w14:textId="77777777" w:rsidTr="002B75A3">
        <w:tc>
          <w:tcPr>
            <w:tcW w:w="2228" w:type="pct"/>
          </w:tcPr>
          <w:p w14:paraId="158182EA" w14:textId="40ADF53E" w:rsidR="00FB45C0" w:rsidRPr="00FA289C" w:rsidRDefault="00FB45C0" w:rsidP="00683503">
            <w:pPr>
              <w:suppressLineNumbers/>
              <w:ind w:firstLine="164"/>
              <w:rPr>
                <w:rFonts w:cstheme="minorHAnsi"/>
              </w:rPr>
            </w:pPr>
            <w:r w:rsidRPr="00FA289C">
              <w:rPr>
                <w:rFonts w:cstheme="minorHAnsi"/>
              </w:rPr>
              <w:t>Diamorphine</w:t>
            </w:r>
          </w:p>
        </w:tc>
        <w:tc>
          <w:tcPr>
            <w:tcW w:w="930" w:type="pct"/>
            <w:vAlign w:val="center"/>
          </w:tcPr>
          <w:p w14:paraId="24881018" w14:textId="39939884" w:rsidR="00FB45C0" w:rsidRPr="00FA289C" w:rsidRDefault="00FB45C0" w:rsidP="00FB45C0">
            <w:pPr>
              <w:suppressLineNumbers/>
              <w:jc w:val="center"/>
              <w:rPr>
                <w:rFonts w:cstheme="minorHAnsi"/>
              </w:rPr>
            </w:pPr>
            <w:r w:rsidRPr="00FA289C">
              <w:rPr>
                <w:rFonts w:cstheme="minorHAnsi"/>
              </w:rPr>
              <w:t>Single</w:t>
            </w:r>
          </w:p>
        </w:tc>
        <w:tc>
          <w:tcPr>
            <w:tcW w:w="697" w:type="pct"/>
            <w:vAlign w:val="center"/>
          </w:tcPr>
          <w:p w14:paraId="12DE2E55" w14:textId="6E4ECF73" w:rsidR="00FB45C0" w:rsidRPr="00FA289C" w:rsidRDefault="00FB45C0" w:rsidP="00FB45C0">
            <w:pPr>
              <w:suppressLineNumbers/>
              <w:jc w:val="center"/>
              <w:rPr>
                <w:rFonts w:cstheme="minorHAnsi"/>
              </w:rPr>
            </w:pPr>
            <w:r w:rsidRPr="00FA289C">
              <w:rPr>
                <w:rFonts w:cstheme="minorHAnsi"/>
              </w:rPr>
              <w:t>Strong</w:t>
            </w:r>
          </w:p>
        </w:tc>
        <w:tc>
          <w:tcPr>
            <w:tcW w:w="1145" w:type="pct"/>
          </w:tcPr>
          <w:p w14:paraId="70A41C89" w14:textId="1DFF507F" w:rsidR="00FB45C0" w:rsidRPr="00FA289C" w:rsidRDefault="00FB45C0" w:rsidP="00FB45C0">
            <w:pPr>
              <w:suppressLineNumbers/>
              <w:jc w:val="center"/>
              <w:rPr>
                <w:rFonts w:cstheme="minorHAnsi"/>
              </w:rPr>
            </w:pPr>
            <w:r w:rsidRPr="00FB45C0">
              <w:rPr>
                <w:rFonts w:cstheme="minorHAnsi"/>
              </w:rPr>
              <w:t>123,883</w:t>
            </w:r>
            <w:r>
              <w:rPr>
                <w:rFonts w:cstheme="minorHAnsi"/>
              </w:rPr>
              <w:t xml:space="preserve"> (0.1)</w:t>
            </w:r>
          </w:p>
        </w:tc>
      </w:tr>
      <w:tr w:rsidR="009D5263" w14:paraId="1D537C6D" w14:textId="77777777" w:rsidTr="002B75A3">
        <w:tc>
          <w:tcPr>
            <w:tcW w:w="2228" w:type="pct"/>
          </w:tcPr>
          <w:p w14:paraId="51B52D6C" w14:textId="05BF2A73" w:rsidR="009D5263" w:rsidRPr="00FA289C" w:rsidRDefault="009D5263" w:rsidP="00683503">
            <w:pPr>
              <w:suppressLineNumbers/>
              <w:ind w:firstLine="164"/>
              <w:rPr>
                <w:rFonts w:cstheme="minorHAnsi"/>
              </w:rPr>
            </w:pPr>
            <w:r w:rsidRPr="00FA289C">
              <w:rPr>
                <w:rFonts w:cstheme="minorHAnsi"/>
              </w:rPr>
              <w:t>Meptazinol</w:t>
            </w:r>
          </w:p>
        </w:tc>
        <w:tc>
          <w:tcPr>
            <w:tcW w:w="930" w:type="pct"/>
            <w:vAlign w:val="center"/>
          </w:tcPr>
          <w:p w14:paraId="2E9C7927" w14:textId="11CC27BE" w:rsidR="009D5263" w:rsidRPr="00FA289C" w:rsidRDefault="009D5263" w:rsidP="009D5263">
            <w:pPr>
              <w:suppressLineNumbers/>
              <w:jc w:val="center"/>
              <w:rPr>
                <w:rFonts w:cstheme="minorHAnsi"/>
              </w:rPr>
            </w:pPr>
            <w:r w:rsidRPr="00FA289C">
              <w:rPr>
                <w:rFonts w:cstheme="minorHAnsi"/>
              </w:rPr>
              <w:t>Single</w:t>
            </w:r>
          </w:p>
        </w:tc>
        <w:tc>
          <w:tcPr>
            <w:tcW w:w="697" w:type="pct"/>
            <w:vAlign w:val="center"/>
          </w:tcPr>
          <w:p w14:paraId="43E09CBE" w14:textId="601D4CB5" w:rsidR="009D5263" w:rsidRPr="00FA289C" w:rsidRDefault="009D5263" w:rsidP="009D5263">
            <w:pPr>
              <w:suppressLineNumbers/>
              <w:jc w:val="center"/>
              <w:rPr>
                <w:rFonts w:cstheme="minorHAnsi"/>
              </w:rPr>
            </w:pPr>
            <w:r w:rsidRPr="00FA289C">
              <w:rPr>
                <w:rFonts w:cstheme="minorHAnsi"/>
              </w:rPr>
              <w:t>Weak</w:t>
            </w:r>
          </w:p>
        </w:tc>
        <w:tc>
          <w:tcPr>
            <w:tcW w:w="1145" w:type="pct"/>
          </w:tcPr>
          <w:p w14:paraId="1AE9FB1E" w14:textId="044511CD" w:rsidR="009D5263" w:rsidRPr="00FA289C" w:rsidRDefault="009D5263" w:rsidP="009D5263">
            <w:pPr>
              <w:suppressLineNumbers/>
              <w:jc w:val="center"/>
              <w:rPr>
                <w:rFonts w:cstheme="minorHAnsi"/>
              </w:rPr>
            </w:pPr>
            <w:r w:rsidRPr="009D5263">
              <w:rPr>
                <w:rFonts w:cstheme="minorHAnsi"/>
              </w:rPr>
              <w:t>117,240</w:t>
            </w:r>
            <w:r>
              <w:rPr>
                <w:rFonts w:cstheme="minorHAnsi"/>
              </w:rPr>
              <w:t xml:space="preserve"> (0.1)</w:t>
            </w:r>
          </w:p>
        </w:tc>
      </w:tr>
      <w:tr w:rsidR="009D5263" w14:paraId="2ED5FF17" w14:textId="77777777" w:rsidTr="002B75A3">
        <w:tc>
          <w:tcPr>
            <w:tcW w:w="2228" w:type="pct"/>
          </w:tcPr>
          <w:p w14:paraId="7681021A" w14:textId="2877D1B5" w:rsidR="009D5263" w:rsidRPr="00FA289C" w:rsidRDefault="00F64F5F" w:rsidP="00683503">
            <w:pPr>
              <w:suppressLineNumbers/>
              <w:ind w:firstLine="164"/>
              <w:rPr>
                <w:rFonts w:cstheme="minorHAnsi"/>
              </w:rPr>
            </w:pPr>
            <w:proofErr w:type="spellStart"/>
            <w:r>
              <w:rPr>
                <w:rFonts w:cstheme="minorHAnsi"/>
              </w:rPr>
              <w:t>Tap</w:t>
            </w:r>
            <w:r w:rsidR="00B127A7">
              <w:rPr>
                <w:rFonts w:cstheme="minorHAnsi"/>
              </w:rPr>
              <w:t>entadol</w:t>
            </w:r>
            <w:proofErr w:type="spellEnd"/>
          </w:p>
        </w:tc>
        <w:tc>
          <w:tcPr>
            <w:tcW w:w="930" w:type="pct"/>
            <w:vAlign w:val="center"/>
          </w:tcPr>
          <w:p w14:paraId="4E3AA3D8" w14:textId="4F2DC44A" w:rsidR="009D5263" w:rsidRPr="00FA289C" w:rsidRDefault="00C13418" w:rsidP="009D5263">
            <w:pPr>
              <w:suppressLineNumbers/>
              <w:jc w:val="center"/>
              <w:rPr>
                <w:rFonts w:cstheme="minorHAnsi"/>
              </w:rPr>
            </w:pPr>
            <w:r>
              <w:rPr>
                <w:rFonts w:cstheme="minorHAnsi"/>
              </w:rPr>
              <w:t>Single</w:t>
            </w:r>
          </w:p>
        </w:tc>
        <w:tc>
          <w:tcPr>
            <w:tcW w:w="697" w:type="pct"/>
            <w:vAlign w:val="center"/>
          </w:tcPr>
          <w:p w14:paraId="3AAC6DCF" w14:textId="6ABC3020" w:rsidR="009D5263" w:rsidRPr="00FA289C" w:rsidRDefault="00C13418" w:rsidP="009D5263">
            <w:pPr>
              <w:suppressLineNumbers/>
              <w:jc w:val="center"/>
              <w:rPr>
                <w:rFonts w:cstheme="minorHAnsi"/>
              </w:rPr>
            </w:pPr>
            <w:r>
              <w:rPr>
                <w:rFonts w:cstheme="minorHAnsi"/>
              </w:rPr>
              <w:t>Strong</w:t>
            </w:r>
          </w:p>
        </w:tc>
        <w:tc>
          <w:tcPr>
            <w:tcW w:w="1145" w:type="pct"/>
          </w:tcPr>
          <w:p w14:paraId="03FD7DF6" w14:textId="5B4AFEB0" w:rsidR="009D5263" w:rsidRPr="00FA289C" w:rsidRDefault="00C13418" w:rsidP="009D5263">
            <w:pPr>
              <w:suppressLineNumbers/>
              <w:jc w:val="center"/>
              <w:rPr>
                <w:rFonts w:cstheme="minorHAnsi"/>
              </w:rPr>
            </w:pPr>
            <w:r w:rsidRPr="00C13418">
              <w:rPr>
                <w:rFonts w:cstheme="minorHAnsi"/>
              </w:rPr>
              <w:t>104,494</w:t>
            </w:r>
            <w:r>
              <w:rPr>
                <w:rFonts w:cstheme="minorHAnsi"/>
              </w:rPr>
              <w:t xml:space="preserve"> (0.1)</w:t>
            </w:r>
          </w:p>
        </w:tc>
      </w:tr>
      <w:tr w:rsidR="00C40B55" w14:paraId="3B446931" w14:textId="77777777" w:rsidTr="002B75A3">
        <w:tc>
          <w:tcPr>
            <w:tcW w:w="2228" w:type="pct"/>
          </w:tcPr>
          <w:p w14:paraId="30EFFA90" w14:textId="5EE7353C" w:rsidR="00C40B55" w:rsidRPr="00FA289C" w:rsidRDefault="00C40B55" w:rsidP="00683503">
            <w:pPr>
              <w:suppressLineNumbers/>
              <w:ind w:firstLine="164"/>
              <w:rPr>
                <w:rFonts w:cstheme="minorHAnsi"/>
              </w:rPr>
            </w:pPr>
            <w:r w:rsidRPr="00FA289C">
              <w:rPr>
                <w:rFonts w:cstheme="minorHAnsi"/>
              </w:rPr>
              <w:t>Pethidine</w:t>
            </w:r>
          </w:p>
        </w:tc>
        <w:tc>
          <w:tcPr>
            <w:tcW w:w="930" w:type="pct"/>
            <w:vAlign w:val="center"/>
          </w:tcPr>
          <w:p w14:paraId="016C439A" w14:textId="1D1B98CF" w:rsidR="00C40B55" w:rsidRPr="00FA289C" w:rsidRDefault="00C40B55" w:rsidP="00C40B55">
            <w:pPr>
              <w:suppressLineNumbers/>
              <w:jc w:val="center"/>
              <w:rPr>
                <w:rFonts w:cstheme="minorHAnsi"/>
              </w:rPr>
            </w:pPr>
            <w:r w:rsidRPr="00FA289C">
              <w:rPr>
                <w:rFonts w:cstheme="minorHAnsi"/>
              </w:rPr>
              <w:t>Single</w:t>
            </w:r>
          </w:p>
        </w:tc>
        <w:tc>
          <w:tcPr>
            <w:tcW w:w="697" w:type="pct"/>
            <w:vAlign w:val="center"/>
          </w:tcPr>
          <w:p w14:paraId="316A23E4" w14:textId="46C2019C" w:rsidR="00C40B55" w:rsidRPr="00FA289C" w:rsidRDefault="00C40B55" w:rsidP="00C40B55">
            <w:pPr>
              <w:suppressLineNumbers/>
              <w:jc w:val="center"/>
              <w:rPr>
                <w:rFonts w:cstheme="minorHAnsi"/>
              </w:rPr>
            </w:pPr>
            <w:r w:rsidRPr="00FA289C">
              <w:rPr>
                <w:rFonts w:cstheme="minorHAnsi"/>
              </w:rPr>
              <w:t>Strong</w:t>
            </w:r>
          </w:p>
        </w:tc>
        <w:tc>
          <w:tcPr>
            <w:tcW w:w="1145" w:type="pct"/>
          </w:tcPr>
          <w:p w14:paraId="4FEFBD77" w14:textId="2EEBF2E2" w:rsidR="00C40B55" w:rsidRPr="00FA289C" w:rsidRDefault="003C1BD4" w:rsidP="00C40B55">
            <w:pPr>
              <w:suppressLineNumbers/>
              <w:jc w:val="center"/>
              <w:rPr>
                <w:rFonts w:cstheme="minorHAnsi"/>
              </w:rPr>
            </w:pPr>
            <w:r w:rsidRPr="003C1BD4">
              <w:rPr>
                <w:rFonts w:cstheme="minorHAnsi"/>
              </w:rPr>
              <w:t>100,239</w:t>
            </w:r>
            <w:r>
              <w:rPr>
                <w:rFonts w:cstheme="minorHAnsi"/>
              </w:rPr>
              <w:t xml:space="preserve"> (0.1)</w:t>
            </w:r>
          </w:p>
        </w:tc>
      </w:tr>
      <w:tr w:rsidR="003C1BD4" w14:paraId="006054E7" w14:textId="77777777" w:rsidTr="002B75A3">
        <w:tc>
          <w:tcPr>
            <w:tcW w:w="2228" w:type="pct"/>
          </w:tcPr>
          <w:p w14:paraId="6676E248" w14:textId="070AC37B" w:rsidR="003C1BD4" w:rsidRPr="00FA289C" w:rsidRDefault="003C1BD4" w:rsidP="00683503">
            <w:pPr>
              <w:suppressLineNumbers/>
              <w:ind w:firstLine="164"/>
              <w:rPr>
                <w:rFonts w:cstheme="minorHAnsi"/>
              </w:rPr>
            </w:pPr>
            <w:r w:rsidRPr="00FA289C">
              <w:rPr>
                <w:rFonts w:cstheme="minorHAnsi"/>
              </w:rPr>
              <w:t>Hydromorphone hydrochloride</w:t>
            </w:r>
          </w:p>
        </w:tc>
        <w:tc>
          <w:tcPr>
            <w:tcW w:w="930" w:type="pct"/>
            <w:vAlign w:val="center"/>
          </w:tcPr>
          <w:p w14:paraId="79D3DFC9" w14:textId="42F9F62A" w:rsidR="003C1BD4" w:rsidRPr="00FA289C" w:rsidRDefault="003C1BD4" w:rsidP="003C1BD4">
            <w:pPr>
              <w:suppressLineNumbers/>
              <w:jc w:val="center"/>
              <w:rPr>
                <w:rFonts w:cstheme="minorHAnsi"/>
              </w:rPr>
            </w:pPr>
            <w:r w:rsidRPr="00FA289C">
              <w:rPr>
                <w:rFonts w:cstheme="minorHAnsi"/>
              </w:rPr>
              <w:t>Single</w:t>
            </w:r>
          </w:p>
        </w:tc>
        <w:tc>
          <w:tcPr>
            <w:tcW w:w="697" w:type="pct"/>
            <w:vAlign w:val="center"/>
          </w:tcPr>
          <w:p w14:paraId="503D16FB" w14:textId="0A6570BE" w:rsidR="003C1BD4" w:rsidRPr="00FA289C" w:rsidRDefault="003C1BD4" w:rsidP="003C1BD4">
            <w:pPr>
              <w:suppressLineNumbers/>
              <w:jc w:val="center"/>
              <w:rPr>
                <w:rFonts w:cstheme="minorHAnsi"/>
              </w:rPr>
            </w:pPr>
            <w:r w:rsidRPr="00FA289C">
              <w:rPr>
                <w:rFonts w:cstheme="minorHAnsi"/>
              </w:rPr>
              <w:t>Strong</w:t>
            </w:r>
          </w:p>
        </w:tc>
        <w:tc>
          <w:tcPr>
            <w:tcW w:w="1145" w:type="pct"/>
          </w:tcPr>
          <w:p w14:paraId="52A789DA" w14:textId="5E174BB0" w:rsidR="003C1BD4" w:rsidRPr="00FA289C" w:rsidRDefault="00F4280C" w:rsidP="003C1BD4">
            <w:pPr>
              <w:suppressLineNumbers/>
              <w:jc w:val="center"/>
              <w:rPr>
                <w:rFonts w:cstheme="minorHAnsi"/>
              </w:rPr>
            </w:pPr>
            <w:r w:rsidRPr="00F4280C">
              <w:rPr>
                <w:rFonts w:cstheme="minorHAnsi"/>
              </w:rPr>
              <w:t>45,658</w:t>
            </w:r>
            <w:r>
              <w:rPr>
                <w:rFonts w:cstheme="minorHAnsi"/>
              </w:rPr>
              <w:t xml:space="preserve"> (0.1)</w:t>
            </w:r>
          </w:p>
        </w:tc>
      </w:tr>
      <w:tr w:rsidR="00C3515A" w14:paraId="325685A3" w14:textId="77777777" w:rsidTr="00C41A3E">
        <w:tc>
          <w:tcPr>
            <w:tcW w:w="2228" w:type="pct"/>
          </w:tcPr>
          <w:p w14:paraId="3C6FDB59" w14:textId="24F96DAC" w:rsidR="00C3515A" w:rsidRPr="00FA289C" w:rsidRDefault="00C3515A" w:rsidP="00683503">
            <w:pPr>
              <w:suppressLineNumbers/>
              <w:ind w:firstLine="164"/>
              <w:rPr>
                <w:rFonts w:cstheme="minorHAnsi"/>
              </w:rPr>
            </w:pPr>
            <w:r w:rsidRPr="00FA289C">
              <w:rPr>
                <w:rFonts w:cstheme="minorHAnsi"/>
              </w:rPr>
              <w:t xml:space="preserve">Dipipanone with </w:t>
            </w:r>
            <w:proofErr w:type="spellStart"/>
            <w:r w:rsidRPr="00FA289C">
              <w:rPr>
                <w:rFonts w:cstheme="minorHAnsi"/>
              </w:rPr>
              <w:t>cyclizine</w:t>
            </w:r>
            <w:proofErr w:type="spellEnd"/>
          </w:p>
        </w:tc>
        <w:tc>
          <w:tcPr>
            <w:tcW w:w="930" w:type="pct"/>
          </w:tcPr>
          <w:p w14:paraId="2A3EBE80" w14:textId="0FF13056" w:rsidR="00C3515A" w:rsidRPr="00FA289C" w:rsidRDefault="00C3515A" w:rsidP="00C3515A">
            <w:pPr>
              <w:suppressLineNumbers/>
              <w:jc w:val="center"/>
              <w:rPr>
                <w:rFonts w:cstheme="minorHAnsi"/>
              </w:rPr>
            </w:pPr>
            <w:r w:rsidRPr="00FA289C">
              <w:rPr>
                <w:rFonts w:cstheme="minorHAnsi"/>
              </w:rPr>
              <w:t>Combination</w:t>
            </w:r>
          </w:p>
        </w:tc>
        <w:tc>
          <w:tcPr>
            <w:tcW w:w="697" w:type="pct"/>
            <w:vAlign w:val="center"/>
          </w:tcPr>
          <w:p w14:paraId="441EEDD2" w14:textId="32D80658" w:rsidR="00C3515A" w:rsidRPr="00FA289C" w:rsidRDefault="00C3515A" w:rsidP="00C3515A">
            <w:pPr>
              <w:suppressLineNumbers/>
              <w:jc w:val="center"/>
              <w:rPr>
                <w:rFonts w:cstheme="minorHAnsi"/>
              </w:rPr>
            </w:pPr>
            <w:r w:rsidRPr="00FA289C">
              <w:rPr>
                <w:rFonts w:cstheme="minorHAnsi"/>
              </w:rPr>
              <w:t>Strong</w:t>
            </w:r>
          </w:p>
        </w:tc>
        <w:tc>
          <w:tcPr>
            <w:tcW w:w="1145" w:type="pct"/>
          </w:tcPr>
          <w:p w14:paraId="71966967" w14:textId="1FE65915" w:rsidR="00C3515A" w:rsidRPr="00FA289C" w:rsidRDefault="00C3515A" w:rsidP="00C3515A">
            <w:pPr>
              <w:suppressLineNumbers/>
              <w:jc w:val="center"/>
              <w:rPr>
                <w:rFonts w:cstheme="minorHAnsi"/>
              </w:rPr>
            </w:pPr>
            <w:r w:rsidRPr="00C3515A">
              <w:rPr>
                <w:rFonts w:cstheme="minorHAnsi"/>
              </w:rPr>
              <w:t>38,773</w:t>
            </w:r>
            <w:r>
              <w:rPr>
                <w:rFonts w:cstheme="minorHAnsi"/>
              </w:rPr>
              <w:t xml:space="preserve"> (&lt;0.1)</w:t>
            </w:r>
          </w:p>
        </w:tc>
      </w:tr>
      <w:tr w:rsidR="00C3515A" w14:paraId="7EBD91BB" w14:textId="77777777" w:rsidTr="00C41A3E">
        <w:tc>
          <w:tcPr>
            <w:tcW w:w="2228" w:type="pct"/>
          </w:tcPr>
          <w:p w14:paraId="24045A81" w14:textId="105581AB" w:rsidR="00C3515A" w:rsidRPr="00FA289C" w:rsidRDefault="00C3515A" w:rsidP="00683503">
            <w:pPr>
              <w:suppressLineNumbers/>
              <w:ind w:firstLine="164"/>
              <w:rPr>
                <w:rFonts w:cstheme="minorHAnsi"/>
              </w:rPr>
            </w:pPr>
            <w:r w:rsidRPr="00FA289C">
              <w:rPr>
                <w:rFonts w:cstheme="minorHAnsi"/>
              </w:rPr>
              <w:t>Oxycodone and naloxone</w:t>
            </w:r>
          </w:p>
        </w:tc>
        <w:tc>
          <w:tcPr>
            <w:tcW w:w="930" w:type="pct"/>
          </w:tcPr>
          <w:p w14:paraId="5610DBC2" w14:textId="3B5C455A" w:rsidR="00C3515A" w:rsidRPr="00FA289C" w:rsidRDefault="00C3515A" w:rsidP="00C3515A">
            <w:pPr>
              <w:suppressLineNumbers/>
              <w:jc w:val="center"/>
              <w:rPr>
                <w:rFonts w:cstheme="minorHAnsi"/>
              </w:rPr>
            </w:pPr>
            <w:r w:rsidRPr="00FA289C">
              <w:rPr>
                <w:rFonts w:cstheme="minorHAnsi"/>
              </w:rPr>
              <w:t>Combination</w:t>
            </w:r>
          </w:p>
        </w:tc>
        <w:tc>
          <w:tcPr>
            <w:tcW w:w="697" w:type="pct"/>
            <w:vAlign w:val="center"/>
          </w:tcPr>
          <w:p w14:paraId="5FCB7399" w14:textId="5DDD6B6E" w:rsidR="00C3515A" w:rsidRPr="00FA289C" w:rsidRDefault="00C3515A" w:rsidP="00C3515A">
            <w:pPr>
              <w:suppressLineNumbers/>
              <w:jc w:val="center"/>
              <w:rPr>
                <w:rFonts w:cstheme="minorHAnsi"/>
              </w:rPr>
            </w:pPr>
            <w:r w:rsidRPr="00FA289C">
              <w:rPr>
                <w:rFonts w:cstheme="minorHAnsi"/>
              </w:rPr>
              <w:t>Strong</w:t>
            </w:r>
          </w:p>
        </w:tc>
        <w:tc>
          <w:tcPr>
            <w:tcW w:w="1145" w:type="pct"/>
          </w:tcPr>
          <w:p w14:paraId="1B1E916C" w14:textId="0F7C57DB" w:rsidR="00C3515A" w:rsidRPr="00FA289C" w:rsidRDefault="00C3515A" w:rsidP="00C3515A">
            <w:pPr>
              <w:suppressLineNumbers/>
              <w:jc w:val="center"/>
              <w:rPr>
                <w:rFonts w:cstheme="minorHAnsi"/>
              </w:rPr>
            </w:pPr>
            <w:r w:rsidRPr="00C3515A">
              <w:rPr>
                <w:rFonts w:cstheme="minorHAnsi"/>
              </w:rPr>
              <w:t>36,547</w:t>
            </w:r>
            <w:r>
              <w:rPr>
                <w:rFonts w:cstheme="minorHAnsi"/>
              </w:rPr>
              <w:t xml:space="preserve"> (&lt;0.1)</w:t>
            </w:r>
          </w:p>
        </w:tc>
      </w:tr>
      <w:tr w:rsidR="00C3515A" w14:paraId="6E9E4A49" w14:textId="77777777" w:rsidTr="00C41A3E">
        <w:tc>
          <w:tcPr>
            <w:tcW w:w="2228" w:type="pct"/>
          </w:tcPr>
          <w:p w14:paraId="0CDC069B" w14:textId="76BBF262" w:rsidR="00C3515A" w:rsidRPr="00FA289C" w:rsidRDefault="00C3515A" w:rsidP="00683503">
            <w:pPr>
              <w:suppressLineNumbers/>
              <w:ind w:firstLine="164"/>
              <w:rPr>
                <w:rFonts w:cstheme="minorHAnsi"/>
              </w:rPr>
            </w:pPr>
            <w:r w:rsidRPr="00FA289C">
              <w:rPr>
                <w:rFonts w:cstheme="minorHAnsi"/>
              </w:rPr>
              <w:t xml:space="preserve">Morphine with </w:t>
            </w:r>
            <w:proofErr w:type="spellStart"/>
            <w:r w:rsidRPr="00FA289C">
              <w:rPr>
                <w:rFonts w:cstheme="minorHAnsi"/>
              </w:rPr>
              <w:t>cyclizine</w:t>
            </w:r>
            <w:proofErr w:type="spellEnd"/>
          </w:p>
        </w:tc>
        <w:tc>
          <w:tcPr>
            <w:tcW w:w="930" w:type="pct"/>
          </w:tcPr>
          <w:p w14:paraId="6FF631F6" w14:textId="234E7DDC" w:rsidR="00C3515A" w:rsidRPr="00FA289C" w:rsidRDefault="00C3515A" w:rsidP="00C3515A">
            <w:pPr>
              <w:suppressLineNumbers/>
              <w:jc w:val="center"/>
              <w:rPr>
                <w:rFonts w:cstheme="minorHAnsi"/>
              </w:rPr>
            </w:pPr>
            <w:r w:rsidRPr="00FA289C">
              <w:rPr>
                <w:rFonts w:cstheme="minorHAnsi"/>
              </w:rPr>
              <w:t>Combination</w:t>
            </w:r>
          </w:p>
        </w:tc>
        <w:tc>
          <w:tcPr>
            <w:tcW w:w="697" w:type="pct"/>
            <w:vAlign w:val="center"/>
          </w:tcPr>
          <w:p w14:paraId="52E79969" w14:textId="153F15E6" w:rsidR="00C3515A" w:rsidRPr="00FA289C" w:rsidRDefault="00C3515A" w:rsidP="00C3515A">
            <w:pPr>
              <w:suppressLineNumbers/>
              <w:jc w:val="center"/>
              <w:rPr>
                <w:rFonts w:cstheme="minorHAnsi"/>
              </w:rPr>
            </w:pPr>
            <w:r w:rsidRPr="00FA289C">
              <w:rPr>
                <w:rFonts w:cstheme="minorHAnsi"/>
              </w:rPr>
              <w:t>Strong</w:t>
            </w:r>
          </w:p>
        </w:tc>
        <w:tc>
          <w:tcPr>
            <w:tcW w:w="1145" w:type="pct"/>
          </w:tcPr>
          <w:p w14:paraId="19F5327B" w14:textId="77FC0FC8" w:rsidR="00C3515A" w:rsidRPr="00FA289C" w:rsidRDefault="0007329E" w:rsidP="00C3515A">
            <w:pPr>
              <w:suppressLineNumbers/>
              <w:jc w:val="center"/>
              <w:rPr>
                <w:rFonts w:cstheme="minorHAnsi"/>
              </w:rPr>
            </w:pPr>
            <w:r w:rsidRPr="0007329E">
              <w:rPr>
                <w:rFonts w:cstheme="minorHAnsi"/>
              </w:rPr>
              <w:t>17,624</w:t>
            </w:r>
            <w:r>
              <w:rPr>
                <w:rFonts w:cstheme="minorHAnsi"/>
              </w:rPr>
              <w:t xml:space="preserve"> (&lt;0.1)</w:t>
            </w:r>
          </w:p>
        </w:tc>
      </w:tr>
      <w:tr w:rsidR="0007329E" w14:paraId="26624738" w14:textId="77777777" w:rsidTr="002B75A3">
        <w:tc>
          <w:tcPr>
            <w:tcW w:w="2228" w:type="pct"/>
          </w:tcPr>
          <w:p w14:paraId="2B6CD9A9" w14:textId="264F4F92" w:rsidR="0007329E" w:rsidRPr="00FA289C" w:rsidRDefault="0007329E" w:rsidP="00683503">
            <w:pPr>
              <w:suppressLineNumbers/>
              <w:ind w:firstLine="164"/>
              <w:rPr>
                <w:rFonts w:cstheme="minorHAnsi"/>
              </w:rPr>
            </w:pPr>
            <w:r w:rsidRPr="00FA289C">
              <w:rPr>
                <w:rFonts w:cstheme="minorHAnsi"/>
              </w:rPr>
              <w:t>Pentazocine</w:t>
            </w:r>
          </w:p>
        </w:tc>
        <w:tc>
          <w:tcPr>
            <w:tcW w:w="930" w:type="pct"/>
            <w:vAlign w:val="center"/>
          </w:tcPr>
          <w:p w14:paraId="09E6F68C" w14:textId="4BAC5D8B" w:rsidR="0007329E" w:rsidRPr="00FA289C" w:rsidRDefault="0007329E" w:rsidP="0007329E">
            <w:pPr>
              <w:suppressLineNumbers/>
              <w:jc w:val="center"/>
              <w:rPr>
                <w:rFonts w:cstheme="minorHAnsi"/>
              </w:rPr>
            </w:pPr>
            <w:r w:rsidRPr="00FA289C">
              <w:rPr>
                <w:rFonts w:cstheme="minorHAnsi"/>
              </w:rPr>
              <w:t>Single</w:t>
            </w:r>
          </w:p>
        </w:tc>
        <w:tc>
          <w:tcPr>
            <w:tcW w:w="697" w:type="pct"/>
            <w:vAlign w:val="center"/>
          </w:tcPr>
          <w:p w14:paraId="7C8D1DA4" w14:textId="2E8D7E9B" w:rsidR="0007329E" w:rsidRPr="00FA289C" w:rsidRDefault="0007329E" w:rsidP="0007329E">
            <w:pPr>
              <w:suppressLineNumbers/>
              <w:jc w:val="center"/>
              <w:rPr>
                <w:rFonts w:cstheme="minorHAnsi"/>
              </w:rPr>
            </w:pPr>
            <w:r w:rsidRPr="00FA289C">
              <w:rPr>
                <w:rFonts w:cstheme="minorHAnsi"/>
              </w:rPr>
              <w:t>Strong</w:t>
            </w:r>
          </w:p>
        </w:tc>
        <w:tc>
          <w:tcPr>
            <w:tcW w:w="1145" w:type="pct"/>
          </w:tcPr>
          <w:p w14:paraId="4CB7130A" w14:textId="25419C53" w:rsidR="0007329E" w:rsidRPr="00FA289C" w:rsidRDefault="0007329E" w:rsidP="0007329E">
            <w:pPr>
              <w:suppressLineNumbers/>
              <w:jc w:val="center"/>
              <w:rPr>
                <w:rFonts w:cstheme="minorHAnsi"/>
              </w:rPr>
            </w:pPr>
            <w:r w:rsidRPr="0007329E">
              <w:rPr>
                <w:rFonts w:cstheme="minorHAnsi"/>
              </w:rPr>
              <w:t>9,986</w:t>
            </w:r>
            <w:r>
              <w:rPr>
                <w:rFonts w:cstheme="minorHAnsi"/>
              </w:rPr>
              <w:t xml:space="preserve"> (&lt;0.1)</w:t>
            </w:r>
          </w:p>
        </w:tc>
      </w:tr>
      <w:tr w:rsidR="00024DAE" w14:paraId="69F708D7" w14:textId="77777777" w:rsidTr="002B75A3">
        <w:tc>
          <w:tcPr>
            <w:tcW w:w="2228" w:type="pct"/>
          </w:tcPr>
          <w:p w14:paraId="75D07009" w14:textId="2CFB0272" w:rsidR="00024DAE" w:rsidRPr="00FA289C" w:rsidRDefault="00024DAE" w:rsidP="00683503">
            <w:pPr>
              <w:suppressLineNumbers/>
              <w:ind w:firstLine="164"/>
              <w:rPr>
                <w:rFonts w:cstheme="minorHAnsi"/>
              </w:rPr>
            </w:pPr>
            <w:r w:rsidRPr="00FA289C">
              <w:rPr>
                <w:rFonts w:cstheme="minorHAnsi"/>
              </w:rPr>
              <w:t>Co-codaprin</w:t>
            </w:r>
          </w:p>
        </w:tc>
        <w:tc>
          <w:tcPr>
            <w:tcW w:w="930" w:type="pct"/>
            <w:vAlign w:val="center"/>
          </w:tcPr>
          <w:p w14:paraId="58670BA5" w14:textId="34998C08" w:rsidR="00024DAE" w:rsidRPr="00FA289C" w:rsidRDefault="00024DAE" w:rsidP="00024DAE">
            <w:pPr>
              <w:suppressLineNumbers/>
              <w:jc w:val="center"/>
              <w:rPr>
                <w:rFonts w:cstheme="minorHAnsi"/>
              </w:rPr>
            </w:pPr>
            <w:r w:rsidRPr="00FA289C">
              <w:rPr>
                <w:rFonts w:cstheme="minorHAnsi"/>
              </w:rPr>
              <w:t>Combination</w:t>
            </w:r>
          </w:p>
        </w:tc>
        <w:tc>
          <w:tcPr>
            <w:tcW w:w="697" w:type="pct"/>
            <w:vAlign w:val="center"/>
          </w:tcPr>
          <w:p w14:paraId="043694E2" w14:textId="019DE6BA" w:rsidR="00024DAE" w:rsidRPr="00FA289C" w:rsidRDefault="00024DAE" w:rsidP="00024DAE">
            <w:pPr>
              <w:suppressLineNumbers/>
              <w:jc w:val="center"/>
              <w:rPr>
                <w:rFonts w:cstheme="minorHAnsi"/>
              </w:rPr>
            </w:pPr>
            <w:r w:rsidRPr="00FA289C">
              <w:rPr>
                <w:rFonts w:cstheme="minorHAnsi"/>
              </w:rPr>
              <w:t>Weak</w:t>
            </w:r>
          </w:p>
        </w:tc>
        <w:tc>
          <w:tcPr>
            <w:tcW w:w="1145" w:type="pct"/>
          </w:tcPr>
          <w:p w14:paraId="3CFA50B5" w14:textId="7F4BFAE8" w:rsidR="00024DAE" w:rsidRPr="00FA289C" w:rsidRDefault="00024DAE" w:rsidP="00024DAE">
            <w:pPr>
              <w:suppressLineNumbers/>
              <w:jc w:val="center"/>
              <w:rPr>
                <w:rFonts w:cstheme="minorHAnsi"/>
              </w:rPr>
            </w:pPr>
            <w:r w:rsidRPr="0046087E">
              <w:t xml:space="preserve"> 6,370 </w:t>
            </w:r>
            <w:r>
              <w:rPr>
                <w:rFonts w:cstheme="minorHAnsi"/>
              </w:rPr>
              <w:t>(&lt;0.1)</w:t>
            </w:r>
          </w:p>
        </w:tc>
      </w:tr>
      <w:tr w:rsidR="00024DAE" w14:paraId="331A4470" w14:textId="77777777" w:rsidTr="00C41A3E">
        <w:tc>
          <w:tcPr>
            <w:tcW w:w="2228" w:type="pct"/>
          </w:tcPr>
          <w:p w14:paraId="2FA87BF0" w14:textId="0FB4A1EC" w:rsidR="00024DAE" w:rsidRPr="00FA289C" w:rsidRDefault="00024DAE" w:rsidP="00683503">
            <w:pPr>
              <w:suppressLineNumbers/>
              <w:ind w:firstLine="164"/>
              <w:rPr>
                <w:rFonts w:cstheme="minorHAnsi"/>
              </w:rPr>
            </w:pPr>
            <w:r w:rsidRPr="00FA289C">
              <w:rPr>
                <w:rFonts w:cstheme="minorHAnsi"/>
              </w:rPr>
              <w:t>Ibuprofen with codeine phosphate</w:t>
            </w:r>
          </w:p>
        </w:tc>
        <w:tc>
          <w:tcPr>
            <w:tcW w:w="930" w:type="pct"/>
          </w:tcPr>
          <w:p w14:paraId="6DA76EA4" w14:textId="1FB49674" w:rsidR="00024DAE" w:rsidRPr="00FA289C" w:rsidRDefault="00024DAE" w:rsidP="00024DAE">
            <w:pPr>
              <w:suppressLineNumbers/>
              <w:jc w:val="center"/>
              <w:rPr>
                <w:rFonts w:cstheme="minorHAnsi"/>
              </w:rPr>
            </w:pPr>
            <w:r w:rsidRPr="00FA289C">
              <w:rPr>
                <w:rFonts w:cstheme="minorHAnsi"/>
              </w:rPr>
              <w:t>Combination</w:t>
            </w:r>
          </w:p>
        </w:tc>
        <w:tc>
          <w:tcPr>
            <w:tcW w:w="697" w:type="pct"/>
            <w:vAlign w:val="center"/>
          </w:tcPr>
          <w:p w14:paraId="4B4C7C38" w14:textId="6DFCB110" w:rsidR="00024DAE" w:rsidRPr="00FA289C" w:rsidRDefault="00024DAE" w:rsidP="00024DAE">
            <w:pPr>
              <w:suppressLineNumbers/>
              <w:jc w:val="center"/>
              <w:rPr>
                <w:rFonts w:cstheme="minorHAnsi"/>
              </w:rPr>
            </w:pPr>
            <w:r w:rsidRPr="00FA289C">
              <w:rPr>
                <w:rFonts w:cstheme="minorHAnsi"/>
              </w:rPr>
              <w:t>Weak</w:t>
            </w:r>
          </w:p>
        </w:tc>
        <w:tc>
          <w:tcPr>
            <w:tcW w:w="1145" w:type="pct"/>
          </w:tcPr>
          <w:p w14:paraId="504646E3" w14:textId="20E584A7" w:rsidR="00024DAE" w:rsidRPr="00FA289C" w:rsidRDefault="00024DAE" w:rsidP="00024DAE">
            <w:pPr>
              <w:suppressLineNumbers/>
              <w:jc w:val="center"/>
              <w:rPr>
                <w:rFonts w:cstheme="minorHAnsi"/>
              </w:rPr>
            </w:pPr>
            <w:r w:rsidRPr="0046087E">
              <w:t xml:space="preserve"> 5,440 </w:t>
            </w:r>
            <w:r>
              <w:rPr>
                <w:rFonts w:cstheme="minorHAnsi"/>
              </w:rPr>
              <w:t>(&lt;0.1)</w:t>
            </w:r>
          </w:p>
        </w:tc>
      </w:tr>
      <w:tr w:rsidR="00024DAE" w14:paraId="26C93F39" w14:textId="77777777" w:rsidTr="002B75A3">
        <w:tc>
          <w:tcPr>
            <w:tcW w:w="2228" w:type="pct"/>
          </w:tcPr>
          <w:p w14:paraId="39A256D8" w14:textId="30E2F3C7" w:rsidR="00024DAE" w:rsidRPr="00FA289C" w:rsidRDefault="00024DAE" w:rsidP="00683503">
            <w:pPr>
              <w:suppressLineNumbers/>
              <w:ind w:firstLine="164"/>
              <w:rPr>
                <w:rFonts w:cstheme="minorHAnsi"/>
              </w:rPr>
            </w:pPr>
            <w:r w:rsidRPr="00FA289C">
              <w:rPr>
                <w:rFonts w:cstheme="minorHAnsi"/>
              </w:rPr>
              <w:t>Aspirin with papaveretum</w:t>
            </w:r>
          </w:p>
        </w:tc>
        <w:tc>
          <w:tcPr>
            <w:tcW w:w="930" w:type="pct"/>
            <w:vAlign w:val="center"/>
          </w:tcPr>
          <w:p w14:paraId="23EA6EE4" w14:textId="0DAEE679" w:rsidR="00024DAE" w:rsidRPr="00FA289C" w:rsidRDefault="00024DAE" w:rsidP="00024DAE">
            <w:pPr>
              <w:suppressLineNumbers/>
              <w:jc w:val="center"/>
              <w:rPr>
                <w:rFonts w:cstheme="minorHAnsi"/>
              </w:rPr>
            </w:pPr>
            <w:r w:rsidRPr="00FA289C">
              <w:rPr>
                <w:rFonts w:cstheme="minorHAnsi"/>
              </w:rPr>
              <w:t>Combination</w:t>
            </w:r>
          </w:p>
        </w:tc>
        <w:tc>
          <w:tcPr>
            <w:tcW w:w="697" w:type="pct"/>
            <w:vAlign w:val="center"/>
          </w:tcPr>
          <w:p w14:paraId="73ACF32C" w14:textId="09CC66E2" w:rsidR="00024DAE" w:rsidRPr="00FA289C" w:rsidRDefault="00024DAE" w:rsidP="00024DAE">
            <w:pPr>
              <w:suppressLineNumbers/>
              <w:jc w:val="center"/>
              <w:rPr>
                <w:rFonts w:cstheme="minorHAnsi"/>
              </w:rPr>
            </w:pPr>
            <w:r w:rsidRPr="00FA289C">
              <w:rPr>
                <w:rFonts w:cstheme="minorHAnsi"/>
              </w:rPr>
              <w:t>Strong</w:t>
            </w:r>
          </w:p>
        </w:tc>
        <w:tc>
          <w:tcPr>
            <w:tcW w:w="1145" w:type="pct"/>
          </w:tcPr>
          <w:p w14:paraId="4CF9D0BA" w14:textId="201EC393" w:rsidR="00024DAE" w:rsidRPr="00FA289C" w:rsidRDefault="00024DAE" w:rsidP="00024DAE">
            <w:pPr>
              <w:suppressLineNumbers/>
              <w:jc w:val="center"/>
              <w:rPr>
                <w:rFonts w:cstheme="minorHAnsi"/>
              </w:rPr>
            </w:pPr>
            <w:r w:rsidRPr="0046087E">
              <w:t xml:space="preserve"> 960 </w:t>
            </w:r>
            <w:r>
              <w:rPr>
                <w:rFonts w:cstheme="minorHAnsi"/>
              </w:rPr>
              <w:t>(&lt;0.1)</w:t>
            </w:r>
          </w:p>
        </w:tc>
      </w:tr>
      <w:tr w:rsidR="00024DAE" w14:paraId="22675F91" w14:textId="77777777" w:rsidTr="00C41A3E">
        <w:tc>
          <w:tcPr>
            <w:tcW w:w="2228" w:type="pct"/>
          </w:tcPr>
          <w:p w14:paraId="47EE51D8" w14:textId="1F0E9BE0" w:rsidR="00024DAE" w:rsidRPr="00FA289C" w:rsidRDefault="00024DAE" w:rsidP="00683503">
            <w:pPr>
              <w:suppressLineNumbers/>
              <w:ind w:firstLine="164"/>
              <w:rPr>
                <w:rFonts w:cstheme="minorHAnsi"/>
              </w:rPr>
            </w:pPr>
            <w:r w:rsidRPr="00FA289C">
              <w:rPr>
                <w:rFonts w:cstheme="minorHAnsi"/>
              </w:rPr>
              <w:t>Paracetamol, codeine &amp; caffeine</w:t>
            </w:r>
          </w:p>
        </w:tc>
        <w:tc>
          <w:tcPr>
            <w:tcW w:w="930" w:type="pct"/>
          </w:tcPr>
          <w:p w14:paraId="1CC6A5D6" w14:textId="0E7EAB88" w:rsidR="00024DAE" w:rsidRPr="00FA289C" w:rsidRDefault="00024DAE" w:rsidP="00024DAE">
            <w:pPr>
              <w:suppressLineNumbers/>
              <w:jc w:val="center"/>
              <w:rPr>
                <w:rFonts w:cstheme="minorHAnsi"/>
              </w:rPr>
            </w:pPr>
            <w:r w:rsidRPr="00FA289C">
              <w:rPr>
                <w:rFonts w:cstheme="minorHAnsi"/>
              </w:rPr>
              <w:t>Combination</w:t>
            </w:r>
          </w:p>
        </w:tc>
        <w:tc>
          <w:tcPr>
            <w:tcW w:w="697" w:type="pct"/>
            <w:vAlign w:val="center"/>
          </w:tcPr>
          <w:p w14:paraId="0BD4B878" w14:textId="2C873B00" w:rsidR="00024DAE" w:rsidRPr="00FA289C" w:rsidRDefault="00024DAE" w:rsidP="00024DAE">
            <w:pPr>
              <w:suppressLineNumbers/>
              <w:jc w:val="center"/>
              <w:rPr>
                <w:rFonts w:cstheme="minorHAnsi"/>
              </w:rPr>
            </w:pPr>
            <w:r w:rsidRPr="00FA289C">
              <w:rPr>
                <w:rFonts w:cstheme="minorHAnsi"/>
              </w:rPr>
              <w:t>Weak</w:t>
            </w:r>
          </w:p>
        </w:tc>
        <w:tc>
          <w:tcPr>
            <w:tcW w:w="1145" w:type="pct"/>
          </w:tcPr>
          <w:p w14:paraId="7AB59022" w14:textId="5741AE20" w:rsidR="00024DAE" w:rsidRPr="00FA289C" w:rsidRDefault="00024DAE" w:rsidP="00024DAE">
            <w:pPr>
              <w:suppressLineNumbers/>
              <w:jc w:val="center"/>
              <w:rPr>
                <w:rFonts w:cstheme="minorHAnsi"/>
              </w:rPr>
            </w:pPr>
            <w:r w:rsidRPr="0046087E">
              <w:t xml:space="preserve"> 86 </w:t>
            </w:r>
            <w:r>
              <w:rPr>
                <w:rFonts w:cstheme="minorHAnsi"/>
              </w:rPr>
              <w:t>(&lt;0.1)</w:t>
            </w:r>
          </w:p>
        </w:tc>
      </w:tr>
      <w:tr w:rsidR="00024DAE" w14:paraId="06ACB3D3" w14:textId="77777777" w:rsidTr="00C41A3E">
        <w:tc>
          <w:tcPr>
            <w:tcW w:w="2228" w:type="pct"/>
          </w:tcPr>
          <w:p w14:paraId="3983F0F6" w14:textId="67F74011" w:rsidR="00024DAE" w:rsidRPr="00FA289C" w:rsidRDefault="00024DAE" w:rsidP="00683503">
            <w:pPr>
              <w:suppressLineNumbers/>
              <w:ind w:firstLine="164"/>
              <w:rPr>
                <w:rFonts w:cstheme="minorHAnsi"/>
              </w:rPr>
            </w:pPr>
            <w:r w:rsidRPr="00FA289C">
              <w:rPr>
                <w:rFonts w:cstheme="minorHAnsi"/>
              </w:rPr>
              <w:t>Papaveretum</w:t>
            </w:r>
          </w:p>
        </w:tc>
        <w:tc>
          <w:tcPr>
            <w:tcW w:w="930" w:type="pct"/>
          </w:tcPr>
          <w:p w14:paraId="15BFF1A0" w14:textId="1361AAF7" w:rsidR="00024DAE" w:rsidRPr="00FA289C" w:rsidRDefault="00024DAE" w:rsidP="00024DAE">
            <w:pPr>
              <w:suppressLineNumbers/>
              <w:jc w:val="center"/>
              <w:rPr>
                <w:rFonts w:cstheme="minorHAnsi"/>
              </w:rPr>
            </w:pPr>
            <w:r w:rsidRPr="00FA289C">
              <w:rPr>
                <w:rFonts w:cstheme="minorHAnsi"/>
              </w:rPr>
              <w:t>Single</w:t>
            </w:r>
          </w:p>
        </w:tc>
        <w:tc>
          <w:tcPr>
            <w:tcW w:w="697" w:type="pct"/>
            <w:vAlign w:val="center"/>
          </w:tcPr>
          <w:p w14:paraId="7FA53BF2" w14:textId="24E87097" w:rsidR="00024DAE" w:rsidRPr="00FA289C" w:rsidRDefault="00024DAE" w:rsidP="00024DAE">
            <w:pPr>
              <w:suppressLineNumbers/>
              <w:jc w:val="center"/>
              <w:rPr>
                <w:rFonts w:cstheme="minorHAnsi"/>
              </w:rPr>
            </w:pPr>
            <w:r w:rsidRPr="00FA289C">
              <w:rPr>
                <w:rFonts w:cstheme="minorHAnsi"/>
              </w:rPr>
              <w:t>Strong</w:t>
            </w:r>
          </w:p>
        </w:tc>
        <w:tc>
          <w:tcPr>
            <w:tcW w:w="1145" w:type="pct"/>
          </w:tcPr>
          <w:p w14:paraId="00F9B54B" w14:textId="0DC1E5A8" w:rsidR="00024DAE" w:rsidRPr="00FA289C" w:rsidRDefault="00024DAE" w:rsidP="00024DAE">
            <w:pPr>
              <w:suppressLineNumbers/>
              <w:jc w:val="center"/>
              <w:rPr>
                <w:rFonts w:cstheme="minorHAnsi"/>
              </w:rPr>
            </w:pPr>
            <w:r w:rsidRPr="0046087E">
              <w:t xml:space="preserve"> 64 </w:t>
            </w:r>
            <w:r>
              <w:rPr>
                <w:rFonts w:cstheme="minorHAnsi"/>
              </w:rPr>
              <w:t>(&lt;0.1)</w:t>
            </w:r>
          </w:p>
        </w:tc>
      </w:tr>
      <w:tr w:rsidR="00024DAE" w14:paraId="15DF8E61" w14:textId="7E375992" w:rsidTr="00C41A3E">
        <w:tc>
          <w:tcPr>
            <w:tcW w:w="2228" w:type="pct"/>
          </w:tcPr>
          <w:p w14:paraId="7AF4EF1D" w14:textId="2DDA1F19" w:rsidR="00024DAE" w:rsidRPr="00FA289C" w:rsidRDefault="00024DAE" w:rsidP="00683503">
            <w:pPr>
              <w:suppressLineNumbers/>
              <w:ind w:firstLine="164"/>
              <w:rPr>
                <w:rFonts w:cstheme="minorHAnsi"/>
              </w:rPr>
            </w:pPr>
            <w:r>
              <w:rPr>
                <w:rFonts w:cstheme="minorHAnsi"/>
              </w:rPr>
              <w:t>Pethidine with promethazine</w:t>
            </w:r>
          </w:p>
        </w:tc>
        <w:tc>
          <w:tcPr>
            <w:tcW w:w="930" w:type="pct"/>
          </w:tcPr>
          <w:p w14:paraId="218614F6" w14:textId="18C1A476" w:rsidR="00024DAE" w:rsidRPr="00FA289C" w:rsidRDefault="00024DAE" w:rsidP="00024DAE">
            <w:pPr>
              <w:suppressLineNumbers/>
              <w:jc w:val="center"/>
              <w:rPr>
                <w:rFonts w:cstheme="minorHAnsi"/>
              </w:rPr>
            </w:pPr>
            <w:r w:rsidRPr="00FA289C">
              <w:rPr>
                <w:rFonts w:cstheme="minorHAnsi"/>
              </w:rPr>
              <w:t>Combination</w:t>
            </w:r>
          </w:p>
        </w:tc>
        <w:tc>
          <w:tcPr>
            <w:tcW w:w="697" w:type="pct"/>
            <w:vAlign w:val="center"/>
          </w:tcPr>
          <w:p w14:paraId="2FDEEAB9" w14:textId="57CEF19F" w:rsidR="00024DAE" w:rsidRPr="00FA289C" w:rsidRDefault="00024DAE" w:rsidP="00024DAE">
            <w:pPr>
              <w:suppressLineNumbers/>
              <w:jc w:val="center"/>
              <w:rPr>
                <w:rFonts w:cstheme="minorHAnsi"/>
              </w:rPr>
            </w:pPr>
            <w:r w:rsidRPr="00FA289C">
              <w:rPr>
                <w:rFonts w:cstheme="minorHAnsi"/>
              </w:rPr>
              <w:t>Strong</w:t>
            </w:r>
          </w:p>
        </w:tc>
        <w:tc>
          <w:tcPr>
            <w:tcW w:w="1145" w:type="pct"/>
          </w:tcPr>
          <w:p w14:paraId="2277A9DC" w14:textId="62942450" w:rsidR="00024DAE" w:rsidRPr="00FA289C" w:rsidRDefault="00024DAE" w:rsidP="00024DAE">
            <w:pPr>
              <w:suppressLineNumbers/>
              <w:jc w:val="center"/>
              <w:rPr>
                <w:rFonts w:cstheme="minorHAnsi"/>
              </w:rPr>
            </w:pPr>
            <w:r w:rsidRPr="0046087E">
              <w:t xml:space="preserve"> 1 </w:t>
            </w:r>
            <w:r>
              <w:rPr>
                <w:rFonts w:cstheme="minorHAnsi"/>
              </w:rPr>
              <w:t>(&lt;0.1)</w:t>
            </w:r>
          </w:p>
        </w:tc>
      </w:tr>
      <w:tr w:rsidR="00683503" w14:paraId="7DE78F1E" w14:textId="77777777" w:rsidTr="00683503">
        <w:tc>
          <w:tcPr>
            <w:tcW w:w="5000" w:type="pct"/>
            <w:gridSpan w:val="4"/>
            <w:vAlign w:val="center"/>
          </w:tcPr>
          <w:p w14:paraId="67B74BE5" w14:textId="6DF2576D" w:rsidR="00683503" w:rsidRPr="00B2312D" w:rsidRDefault="00683503" w:rsidP="00683503">
            <w:pPr>
              <w:suppressLineNumbers/>
            </w:pPr>
            <w:proofErr w:type="spellStart"/>
            <w:r w:rsidRPr="00683503">
              <w:rPr>
                <w:rFonts w:cstheme="minorHAnsi"/>
                <w:b/>
                <w:bCs/>
              </w:rPr>
              <w:t>Gabapentinoids</w:t>
            </w:r>
            <w:proofErr w:type="spellEnd"/>
            <w:r w:rsidR="00B2312D">
              <w:rPr>
                <w:rFonts w:cstheme="minorHAnsi"/>
              </w:rPr>
              <w:t xml:space="preserve"> (total: 12,036,499</w:t>
            </w:r>
            <w:r w:rsidR="00154782">
              <w:rPr>
                <w:rFonts w:cstheme="minorHAnsi"/>
              </w:rPr>
              <w:t xml:space="preserve"> items</w:t>
            </w:r>
            <w:r w:rsidR="00B2312D">
              <w:rPr>
                <w:rFonts w:cstheme="minorHAnsi"/>
              </w:rPr>
              <w:t>)</w:t>
            </w:r>
          </w:p>
        </w:tc>
      </w:tr>
      <w:tr w:rsidR="00683503" w14:paraId="7AC33097" w14:textId="77777777" w:rsidTr="00C41A3E">
        <w:tc>
          <w:tcPr>
            <w:tcW w:w="2228" w:type="pct"/>
          </w:tcPr>
          <w:p w14:paraId="78EEAD4C" w14:textId="62906761" w:rsidR="00683503" w:rsidRDefault="00683503" w:rsidP="00683503">
            <w:pPr>
              <w:suppressLineNumbers/>
              <w:ind w:firstLine="164"/>
              <w:rPr>
                <w:rFonts w:cstheme="minorHAnsi"/>
              </w:rPr>
            </w:pPr>
            <w:r>
              <w:rPr>
                <w:rFonts w:cstheme="minorHAnsi"/>
              </w:rPr>
              <w:t>Gabapentin</w:t>
            </w:r>
          </w:p>
        </w:tc>
        <w:tc>
          <w:tcPr>
            <w:tcW w:w="930" w:type="pct"/>
          </w:tcPr>
          <w:p w14:paraId="777B46D9" w14:textId="71334DD8" w:rsidR="00683503" w:rsidRPr="00FA289C" w:rsidRDefault="00321742" w:rsidP="00683503">
            <w:pPr>
              <w:suppressLineNumbers/>
              <w:jc w:val="center"/>
              <w:rPr>
                <w:rFonts w:cstheme="minorHAnsi"/>
              </w:rPr>
            </w:pPr>
            <w:r>
              <w:rPr>
                <w:rFonts w:cstheme="minorHAnsi"/>
              </w:rPr>
              <w:t>Single</w:t>
            </w:r>
          </w:p>
        </w:tc>
        <w:tc>
          <w:tcPr>
            <w:tcW w:w="697" w:type="pct"/>
            <w:vAlign w:val="center"/>
          </w:tcPr>
          <w:p w14:paraId="4F59F7FB" w14:textId="37B17DA3" w:rsidR="00683503" w:rsidRPr="00FA289C" w:rsidRDefault="00321742" w:rsidP="00683503">
            <w:pPr>
              <w:suppressLineNumbers/>
              <w:jc w:val="center"/>
              <w:rPr>
                <w:rFonts w:cstheme="minorHAnsi"/>
              </w:rPr>
            </w:pPr>
            <w:r>
              <w:rPr>
                <w:rFonts w:cstheme="minorHAnsi"/>
              </w:rPr>
              <w:t>n/a</w:t>
            </w:r>
          </w:p>
        </w:tc>
        <w:tc>
          <w:tcPr>
            <w:tcW w:w="1145" w:type="pct"/>
          </w:tcPr>
          <w:p w14:paraId="498B297B" w14:textId="50AAFC44" w:rsidR="00683503" w:rsidRPr="0046087E" w:rsidRDefault="00327103" w:rsidP="00683503">
            <w:pPr>
              <w:suppressLineNumbers/>
              <w:jc w:val="center"/>
            </w:pPr>
            <w:r w:rsidRPr="00327103">
              <w:t xml:space="preserve">7,529,215 </w:t>
            </w:r>
            <w:r w:rsidR="00194D58">
              <w:t>(62.6)</w:t>
            </w:r>
          </w:p>
        </w:tc>
      </w:tr>
      <w:tr w:rsidR="00683503" w14:paraId="693EF569" w14:textId="77777777" w:rsidTr="00C41A3E">
        <w:tc>
          <w:tcPr>
            <w:tcW w:w="2228" w:type="pct"/>
          </w:tcPr>
          <w:p w14:paraId="6C3C896C" w14:textId="27622686" w:rsidR="00683503" w:rsidRDefault="00321742" w:rsidP="00683503">
            <w:pPr>
              <w:suppressLineNumbers/>
              <w:ind w:firstLine="164"/>
              <w:rPr>
                <w:rFonts w:cstheme="minorHAnsi"/>
              </w:rPr>
            </w:pPr>
            <w:r>
              <w:rPr>
                <w:rFonts w:cstheme="minorHAnsi"/>
              </w:rPr>
              <w:t>Pregabalin</w:t>
            </w:r>
          </w:p>
        </w:tc>
        <w:tc>
          <w:tcPr>
            <w:tcW w:w="930" w:type="pct"/>
          </w:tcPr>
          <w:p w14:paraId="6970F808" w14:textId="2B17D613" w:rsidR="00683503" w:rsidRPr="00FA289C" w:rsidRDefault="00321742" w:rsidP="00683503">
            <w:pPr>
              <w:suppressLineNumbers/>
              <w:jc w:val="center"/>
              <w:rPr>
                <w:rFonts w:cstheme="minorHAnsi"/>
              </w:rPr>
            </w:pPr>
            <w:r>
              <w:rPr>
                <w:rFonts w:cstheme="minorHAnsi"/>
              </w:rPr>
              <w:t>Single</w:t>
            </w:r>
          </w:p>
        </w:tc>
        <w:tc>
          <w:tcPr>
            <w:tcW w:w="697" w:type="pct"/>
            <w:vAlign w:val="center"/>
          </w:tcPr>
          <w:p w14:paraId="2DE8383A" w14:textId="24B16040" w:rsidR="00683503" w:rsidRPr="00FA289C" w:rsidRDefault="00321742" w:rsidP="00683503">
            <w:pPr>
              <w:suppressLineNumbers/>
              <w:jc w:val="center"/>
              <w:rPr>
                <w:rFonts w:cstheme="minorHAnsi"/>
              </w:rPr>
            </w:pPr>
            <w:r>
              <w:rPr>
                <w:rFonts w:cstheme="minorHAnsi"/>
              </w:rPr>
              <w:t>n/a</w:t>
            </w:r>
          </w:p>
        </w:tc>
        <w:tc>
          <w:tcPr>
            <w:tcW w:w="1145" w:type="pct"/>
          </w:tcPr>
          <w:p w14:paraId="40C1E36F" w14:textId="58B31D1B" w:rsidR="00683503" w:rsidRPr="0046087E" w:rsidRDefault="00327103" w:rsidP="00683503">
            <w:pPr>
              <w:suppressLineNumbers/>
              <w:jc w:val="center"/>
            </w:pPr>
            <w:r w:rsidRPr="00327103">
              <w:t xml:space="preserve">4,507,284 </w:t>
            </w:r>
            <w:r w:rsidR="00E56F3E">
              <w:t>(37.4)</w:t>
            </w:r>
          </w:p>
        </w:tc>
      </w:tr>
    </w:tbl>
    <w:p w14:paraId="6DF80EBB" w14:textId="06DE6CBE" w:rsidR="00B27BAE" w:rsidRPr="00B27BAE" w:rsidRDefault="00B27BAE" w:rsidP="00B27BAE">
      <w:pPr>
        <w:sectPr w:rsidR="00B27BAE" w:rsidRPr="00B27BAE" w:rsidSect="00A66944">
          <w:pgSz w:w="11906" w:h="16838"/>
          <w:pgMar w:top="1440" w:right="1440" w:bottom="1440" w:left="1440" w:header="708" w:footer="708" w:gutter="0"/>
          <w:cols w:space="708"/>
          <w:docGrid w:linePitch="360"/>
        </w:sectPr>
      </w:pPr>
    </w:p>
    <w:p w14:paraId="57C7429F" w14:textId="77777777" w:rsidR="00D44681" w:rsidRDefault="00116F2C" w:rsidP="00C41A3E">
      <w:pPr>
        <w:pStyle w:val="Heading1"/>
        <w:jc w:val="left"/>
      </w:pPr>
      <w:bookmarkStart w:id="7" w:name="_Toc114677330"/>
      <w:r>
        <w:rPr>
          <w:b/>
          <w:bCs/>
        </w:rPr>
        <w:lastRenderedPageBreak/>
        <w:t>Supplementary Table S3.</w:t>
      </w:r>
      <w:r>
        <w:t xml:space="preserve"> </w:t>
      </w:r>
      <w:r w:rsidR="00A629E0">
        <w:t>Mid-year population estimates for Scotland</w:t>
      </w:r>
      <w:bookmarkEnd w:id="7"/>
    </w:p>
    <w:tbl>
      <w:tblPr>
        <w:tblStyle w:val="TableGrid"/>
        <w:tblW w:w="5000" w:type="pct"/>
        <w:tblLook w:val="04A0" w:firstRow="1" w:lastRow="0" w:firstColumn="1" w:lastColumn="0" w:noHBand="0" w:noVBand="1"/>
      </w:tblPr>
      <w:tblGrid>
        <w:gridCol w:w="4508"/>
        <w:gridCol w:w="4508"/>
      </w:tblGrid>
      <w:tr w:rsidR="00D44681" w14:paraId="0DA8E3CA" w14:textId="77777777" w:rsidTr="00FF2AD1">
        <w:tc>
          <w:tcPr>
            <w:tcW w:w="2500" w:type="pct"/>
            <w:shd w:val="clear" w:color="auto" w:fill="D9E2F3" w:themeFill="accent1" w:themeFillTint="33"/>
            <w:vAlign w:val="center"/>
          </w:tcPr>
          <w:p w14:paraId="614FC8E7" w14:textId="77777777" w:rsidR="00D44681" w:rsidRPr="009F231B" w:rsidRDefault="00D44681" w:rsidP="00FF2AD1">
            <w:pPr>
              <w:jc w:val="center"/>
              <w:rPr>
                <w:rFonts w:ascii="Arial" w:hAnsi="Arial" w:cs="Arial"/>
                <w:b/>
                <w:bCs/>
                <w:sz w:val="20"/>
                <w:szCs w:val="20"/>
              </w:rPr>
            </w:pPr>
            <w:r w:rsidRPr="009F231B">
              <w:rPr>
                <w:rFonts w:ascii="Arial" w:hAnsi="Arial" w:cs="Arial"/>
                <w:b/>
                <w:bCs/>
                <w:sz w:val="20"/>
                <w:szCs w:val="20"/>
              </w:rPr>
              <w:t>Year</w:t>
            </w:r>
          </w:p>
        </w:tc>
        <w:tc>
          <w:tcPr>
            <w:tcW w:w="2500" w:type="pct"/>
            <w:shd w:val="clear" w:color="auto" w:fill="D9E2F3" w:themeFill="accent1" w:themeFillTint="33"/>
            <w:vAlign w:val="center"/>
          </w:tcPr>
          <w:p w14:paraId="4CDB21B4" w14:textId="77777777" w:rsidR="00D44681" w:rsidRPr="009F231B" w:rsidRDefault="00D44681" w:rsidP="00FF2AD1">
            <w:pPr>
              <w:jc w:val="center"/>
              <w:rPr>
                <w:rFonts w:ascii="Arial" w:hAnsi="Arial" w:cs="Arial"/>
                <w:b/>
                <w:bCs/>
                <w:sz w:val="20"/>
                <w:szCs w:val="20"/>
              </w:rPr>
            </w:pPr>
            <w:r w:rsidRPr="009F231B">
              <w:rPr>
                <w:rFonts w:ascii="Arial" w:hAnsi="Arial" w:cs="Arial"/>
                <w:b/>
                <w:bCs/>
                <w:sz w:val="20"/>
                <w:szCs w:val="20"/>
              </w:rPr>
              <w:t>Mid-year population estimates (n)</w:t>
            </w:r>
          </w:p>
        </w:tc>
      </w:tr>
      <w:tr w:rsidR="00D44681" w14:paraId="3E9629AD" w14:textId="77777777" w:rsidTr="00FF2AD1">
        <w:tc>
          <w:tcPr>
            <w:tcW w:w="2500" w:type="pct"/>
            <w:shd w:val="clear" w:color="auto" w:fill="D9E2F3" w:themeFill="accent1" w:themeFillTint="33"/>
          </w:tcPr>
          <w:p w14:paraId="2337775A" w14:textId="77777777" w:rsidR="00D44681" w:rsidRPr="009F231B" w:rsidRDefault="00D44681" w:rsidP="00FF2AD1">
            <w:pPr>
              <w:jc w:val="center"/>
              <w:rPr>
                <w:rFonts w:ascii="Arial" w:hAnsi="Arial" w:cs="Arial"/>
                <w:b/>
                <w:bCs/>
                <w:sz w:val="20"/>
                <w:szCs w:val="20"/>
              </w:rPr>
            </w:pPr>
            <w:r w:rsidRPr="009F231B">
              <w:rPr>
                <w:rFonts w:ascii="Arial" w:hAnsi="Arial" w:cs="Arial"/>
                <w:b/>
                <w:bCs/>
                <w:sz w:val="20"/>
                <w:szCs w:val="20"/>
              </w:rPr>
              <w:t>2005</w:t>
            </w:r>
          </w:p>
        </w:tc>
        <w:tc>
          <w:tcPr>
            <w:tcW w:w="2500" w:type="pct"/>
          </w:tcPr>
          <w:p w14:paraId="21EA8FAA" w14:textId="77777777" w:rsidR="00D44681" w:rsidRPr="009F231B" w:rsidRDefault="00D44681" w:rsidP="00FF2AD1">
            <w:pPr>
              <w:jc w:val="center"/>
              <w:rPr>
                <w:rFonts w:ascii="Arial" w:hAnsi="Arial" w:cs="Arial"/>
                <w:sz w:val="20"/>
                <w:szCs w:val="20"/>
              </w:rPr>
            </w:pPr>
            <w:r w:rsidRPr="009F231B">
              <w:rPr>
                <w:rFonts w:ascii="Arial" w:hAnsi="Arial" w:cs="Arial"/>
                <w:sz w:val="20"/>
                <w:szCs w:val="20"/>
              </w:rPr>
              <w:t>5,110,200</w:t>
            </w:r>
          </w:p>
        </w:tc>
      </w:tr>
      <w:tr w:rsidR="00D44681" w14:paraId="594E3652" w14:textId="77777777" w:rsidTr="00FF2AD1">
        <w:tc>
          <w:tcPr>
            <w:tcW w:w="2500" w:type="pct"/>
            <w:shd w:val="clear" w:color="auto" w:fill="D9E2F3" w:themeFill="accent1" w:themeFillTint="33"/>
          </w:tcPr>
          <w:p w14:paraId="21C99F2D" w14:textId="77777777" w:rsidR="00D44681" w:rsidRPr="009F231B" w:rsidRDefault="00D44681" w:rsidP="00FF2AD1">
            <w:pPr>
              <w:jc w:val="center"/>
              <w:rPr>
                <w:rFonts w:ascii="Arial" w:hAnsi="Arial" w:cs="Arial"/>
                <w:b/>
                <w:bCs/>
                <w:sz w:val="20"/>
                <w:szCs w:val="20"/>
              </w:rPr>
            </w:pPr>
            <w:r w:rsidRPr="009F231B">
              <w:rPr>
                <w:rFonts w:ascii="Arial" w:hAnsi="Arial" w:cs="Arial"/>
                <w:b/>
                <w:bCs/>
                <w:sz w:val="20"/>
                <w:szCs w:val="20"/>
              </w:rPr>
              <w:t>2006</w:t>
            </w:r>
          </w:p>
        </w:tc>
        <w:tc>
          <w:tcPr>
            <w:tcW w:w="2500" w:type="pct"/>
          </w:tcPr>
          <w:p w14:paraId="4EEC4635" w14:textId="77777777" w:rsidR="00D44681" w:rsidRPr="009F231B" w:rsidRDefault="00D44681" w:rsidP="00FF2AD1">
            <w:pPr>
              <w:jc w:val="center"/>
              <w:rPr>
                <w:rFonts w:ascii="Arial" w:hAnsi="Arial" w:cs="Arial"/>
                <w:sz w:val="20"/>
                <w:szCs w:val="20"/>
              </w:rPr>
            </w:pPr>
            <w:r w:rsidRPr="009F231B">
              <w:rPr>
                <w:rFonts w:ascii="Arial" w:hAnsi="Arial" w:cs="Arial"/>
                <w:sz w:val="20"/>
                <w:szCs w:val="20"/>
              </w:rPr>
              <w:t>5,133,000</w:t>
            </w:r>
          </w:p>
        </w:tc>
      </w:tr>
      <w:tr w:rsidR="00D44681" w14:paraId="660F8191" w14:textId="77777777" w:rsidTr="00FF2AD1">
        <w:tc>
          <w:tcPr>
            <w:tcW w:w="2500" w:type="pct"/>
            <w:shd w:val="clear" w:color="auto" w:fill="D9E2F3" w:themeFill="accent1" w:themeFillTint="33"/>
          </w:tcPr>
          <w:p w14:paraId="2886C42D" w14:textId="77777777" w:rsidR="00D44681" w:rsidRPr="009F231B" w:rsidRDefault="00D44681" w:rsidP="00FF2AD1">
            <w:pPr>
              <w:jc w:val="center"/>
              <w:rPr>
                <w:rFonts w:ascii="Arial" w:hAnsi="Arial" w:cs="Arial"/>
                <w:b/>
                <w:bCs/>
                <w:sz w:val="20"/>
                <w:szCs w:val="20"/>
              </w:rPr>
            </w:pPr>
            <w:r w:rsidRPr="009F231B">
              <w:rPr>
                <w:rFonts w:ascii="Arial" w:hAnsi="Arial" w:cs="Arial"/>
                <w:b/>
                <w:bCs/>
                <w:sz w:val="20"/>
                <w:szCs w:val="20"/>
              </w:rPr>
              <w:t>2007</w:t>
            </w:r>
          </w:p>
        </w:tc>
        <w:tc>
          <w:tcPr>
            <w:tcW w:w="2500" w:type="pct"/>
          </w:tcPr>
          <w:p w14:paraId="5520CAC3" w14:textId="77777777" w:rsidR="00D44681" w:rsidRPr="009F231B" w:rsidRDefault="00D44681" w:rsidP="00FF2AD1">
            <w:pPr>
              <w:jc w:val="center"/>
              <w:rPr>
                <w:rFonts w:ascii="Arial" w:hAnsi="Arial" w:cs="Arial"/>
                <w:sz w:val="20"/>
                <w:szCs w:val="20"/>
              </w:rPr>
            </w:pPr>
            <w:r w:rsidRPr="009F231B">
              <w:rPr>
                <w:rFonts w:ascii="Arial" w:hAnsi="Arial" w:cs="Arial"/>
                <w:sz w:val="20"/>
                <w:szCs w:val="20"/>
              </w:rPr>
              <w:t>5,170,000</w:t>
            </w:r>
          </w:p>
        </w:tc>
      </w:tr>
      <w:tr w:rsidR="00D44681" w14:paraId="725255F2" w14:textId="77777777" w:rsidTr="00FF2AD1">
        <w:tc>
          <w:tcPr>
            <w:tcW w:w="2500" w:type="pct"/>
            <w:shd w:val="clear" w:color="auto" w:fill="D9E2F3" w:themeFill="accent1" w:themeFillTint="33"/>
          </w:tcPr>
          <w:p w14:paraId="7BEA72A3" w14:textId="77777777" w:rsidR="00D44681" w:rsidRPr="009F231B" w:rsidRDefault="00D44681" w:rsidP="00FF2AD1">
            <w:pPr>
              <w:jc w:val="center"/>
              <w:rPr>
                <w:rFonts w:ascii="Arial" w:hAnsi="Arial" w:cs="Arial"/>
                <w:b/>
                <w:bCs/>
                <w:sz w:val="20"/>
                <w:szCs w:val="20"/>
              </w:rPr>
            </w:pPr>
            <w:r w:rsidRPr="009F231B">
              <w:rPr>
                <w:rFonts w:ascii="Arial" w:hAnsi="Arial" w:cs="Arial"/>
                <w:b/>
                <w:bCs/>
                <w:sz w:val="20"/>
                <w:szCs w:val="20"/>
              </w:rPr>
              <w:t>2008</w:t>
            </w:r>
          </w:p>
        </w:tc>
        <w:tc>
          <w:tcPr>
            <w:tcW w:w="2500" w:type="pct"/>
          </w:tcPr>
          <w:p w14:paraId="6C3CC4AF" w14:textId="77777777" w:rsidR="00D44681" w:rsidRPr="009F231B" w:rsidRDefault="00D44681" w:rsidP="00FF2AD1">
            <w:pPr>
              <w:jc w:val="center"/>
              <w:rPr>
                <w:rFonts w:ascii="Arial" w:hAnsi="Arial" w:cs="Arial"/>
                <w:sz w:val="20"/>
                <w:szCs w:val="20"/>
              </w:rPr>
            </w:pPr>
            <w:r w:rsidRPr="009F231B">
              <w:rPr>
                <w:rFonts w:ascii="Arial" w:hAnsi="Arial" w:cs="Arial"/>
                <w:sz w:val="20"/>
                <w:szCs w:val="20"/>
              </w:rPr>
              <w:t>5,202,900</w:t>
            </w:r>
          </w:p>
        </w:tc>
      </w:tr>
      <w:tr w:rsidR="00D44681" w14:paraId="1C0F81C5" w14:textId="77777777" w:rsidTr="00FF2AD1">
        <w:tc>
          <w:tcPr>
            <w:tcW w:w="2500" w:type="pct"/>
            <w:shd w:val="clear" w:color="auto" w:fill="D9E2F3" w:themeFill="accent1" w:themeFillTint="33"/>
          </w:tcPr>
          <w:p w14:paraId="5BB8262A" w14:textId="77777777" w:rsidR="00D44681" w:rsidRPr="009F231B" w:rsidRDefault="00D44681" w:rsidP="00FF2AD1">
            <w:pPr>
              <w:jc w:val="center"/>
              <w:rPr>
                <w:rFonts w:ascii="Arial" w:hAnsi="Arial" w:cs="Arial"/>
                <w:b/>
                <w:bCs/>
                <w:sz w:val="20"/>
                <w:szCs w:val="20"/>
              </w:rPr>
            </w:pPr>
            <w:r w:rsidRPr="009F231B">
              <w:rPr>
                <w:rFonts w:ascii="Arial" w:hAnsi="Arial" w:cs="Arial"/>
                <w:b/>
                <w:bCs/>
                <w:sz w:val="20"/>
                <w:szCs w:val="20"/>
              </w:rPr>
              <w:t>2009</w:t>
            </w:r>
          </w:p>
        </w:tc>
        <w:tc>
          <w:tcPr>
            <w:tcW w:w="2500" w:type="pct"/>
          </w:tcPr>
          <w:p w14:paraId="429CFFD6" w14:textId="77777777" w:rsidR="00D44681" w:rsidRPr="009F231B" w:rsidRDefault="00D44681" w:rsidP="00FF2AD1">
            <w:pPr>
              <w:jc w:val="center"/>
              <w:rPr>
                <w:rFonts w:ascii="Arial" w:hAnsi="Arial" w:cs="Arial"/>
                <w:sz w:val="20"/>
                <w:szCs w:val="20"/>
              </w:rPr>
            </w:pPr>
            <w:r w:rsidRPr="009F231B">
              <w:rPr>
                <w:rFonts w:ascii="Arial" w:hAnsi="Arial" w:cs="Arial"/>
                <w:sz w:val="20"/>
                <w:szCs w:val="20"/>
              </w:rPr>
              <w:t>5,231,900</w:t>
            </w:r>
          </w:p>
        </w:tc>
      </w:tr>
      <w:tr w:rsidR="00D44681" w14:paraId="56B4D9D6" w14:textId="77777777" w:rsidTr="00FF2AD1">
        <w:tc>
          <w:tcPr>
            <w:tcW w:w="2500" w:type="pct"/>
            <w:shd w:val="clear" w:color="auto" w:fill="D9E2F3" w:themeFill="accent1" w:themeFillTint="33"/>
          </w:tcPr>
          <w:p w14:paraId="19F231EB" w14:textId="77777777" w:rsidR="00D44681" w:rsidRPr="009F231B" w:rsidRDefault="00D44681" w:rsidP="00FF2AD1">
            <w:pPr>
              <w:jc w:val="center"/>
              <w:rPr>
                <w:rFonts w:ascii="Arial" w:hAnsi="Arial" w:cs="Arial"/>
                <w:b/>
                <w:bCs/>
                <w:sz w:val="20"/>
                <w:szCs w:val="20"/>
              </w:rPr>
            </w:pPr>
            <w:r w:rsidRPr="009F231B">
              <w:rPr>
                <w:rFonts w:ascii="Arial" w:hAnsi="Arial" w:cs="Arial"/>
                <w:b/>
                <w:bCs/>
                <w:sz w:val="20"/>
                <w:szCs w:val="20"/>
              </w:rPr>
              <w:t>2010</w:t>
            </w:r>
          </w:p>
        </w:tc>
        <w:tc>
          <w:tcPr>
            <w:tcW w:w="2500" w:type="pct"/>
          </w:tcPr>
          <w:p w14:paraId="7B71C58E" w14:textId="77777777" w:rsidR="00D44681" w:rsidRPr="009F231B" w:rsidRDefault="00D44681" w:rsidP="00FF2AD1">
            <w:pPr>
              <w:jc w:val="center"/>
              <w:rPr>
                <w:rFonts w:ascii="Arial" w:hAnsi="Arial" w:cs="Arial"/>
                <w:sz w:val="20"/>
                <w:szCs w:val="20"/>
              </w:rPr>
            </w:pPr>
            <w:r w:rsidRPr="009F231B">
              <w:rPr>
                <w:rFonts w:ascii="Arial" w:hAnsi="Arial" w:cs="Arial"/>
                <w:sz w:val="20"/>
                <w:szCs w:val="20"/>
              </w:rPr>
              <w:t>5,262,200</w:t>
            </w:r>
          </w:p>
        </w:tc>
      </w:tr>
      <w:tr w:rsidR="00D44681" w14:paraId="14041447" w14:textId="77777777" w:rsidTr="00FF2AD1">
        <w:tc>
          <w:tcPr>
            <w:tcW w:w="2500" w:type="pct"/>
            <w:shd w:val="clear" w:color="auto" w:fill="D9E2F3" w:themeFill="accent1" w:themeFillTint="33"/>
          </w:tcPr>
          <w:p w14:paraId="7315CD51" w14:textId="77777777" w:rsidR="00D44681" w:rsidRPr="009F231B" w:rsidRDefault="00D44681" w:rsidP="00FF2AD1">
            <w:pPr>
              <w:jc w:val="center"/>
              <w:rPr>
                <w:rFonts w:ascii="Arial" w:hAnsi="Arial" w:cs="Arial"/>
                <w:b/>
                <w:bCs/>
                <w:sz w:val="20"/>
                <w:szCs w:val="20"/>
              </w:rPr>
            </w:pPr>
            <w:r w:rsidRPr="009F231B">
              <w:rPr>
                <w:rFonts w:ascii="Arial" w:hAnsi="Arial" w:cs="Arial"/>
                <w:b/>
                <w:bCs/>
                <w:sz w:val="20"/>
                <w:szCs w:val="20"/>
              </w:rPr>
              <w:t>2011</w:t>
            </w:r>
          </w:p>
        </w:tc>
        <w:tc>
          <w:tcPr>
            <w:tcW w:w="2500" w:type="pct"/>
          </w:tcPr>
          <w:p w14:paraId="26728FD1" w14:textId="77777777" w:rsidR="00D44681" w:rsidRPr="009F231B" w:rsidRDefault="00D44681" w:rsidP="00FF2AD1">
            <w:pPr>
              <w:jc w:val="center"/>
              <w:rPr>
                <w:rFonts w:ascii="Arial" w:hAnsi="Arial" w:cs="Arial"/>
                <w:sz w:val="20"/>
                <w:szCs w:val="20"/>
              </w:rPr>
            </w:pPr>
            <w:r w:rsidRPr="009F231B">
              <w:rPr>
                <w:rFonts w:ascii="Arial" w:hAnsi="Arial" w:cs="Arial"/>
                <w:sz w:val="20"/>
                <w:szCs w:val="20"/>
              </w:rPr>
              <w:t>5,299,900</w:t>
            </w:r>
          </w:p>
        </w:tc>
      </w:tr>
      <w:tr w:rsidR="00D44681" w14:paraId="301B191E" w14:textId="77777777" w:rsidTr="00FF2AD1">
        <w:tc>
          <w:tcPr>
            <w:tcW w:w="2500" w:type="pct"/>
            <w:shd w:val="clear" w:color="auto" w:fill="D9E2F3" w:themeFill="accent1" w:themeFillTint="33"/>
          </w:tcPr>
          <w:p w14:paraId="7B8AA8FA" w14:textId="77777777" w:rsidR="00D44681" w:rsidRPr="009F231B" w:rsidRDefault="00D44681" w:rsidP="00FF2AD1">
            <w:pPr>
              <w:jc w:val="center"/>
              <w:rPr>
                <w:rFonts w:ascii="Arial" w:hAnsi="Arial" w:cs="Arial"/>
                <w:b/>
                <w:bCs/>
                <w:sz w:val="20"/>
                <w:szCs w:val="20"/>
              </w:rPr>
            </w:pPr>
            <w:r w:rsidRPr="009F231B">
              <w:rPr>
                <w:rFonts w:ascii="Arial" w:hAnsi="Arial" w:cs="Arial"/>
                <w:b/>
                <w:bCs/>
                <w:sz w:val="20"/>
                <w:szCs w:val="20"/>
              </w:rPr>
              <w:t>2012</w:t>
            </w:r>
          </w:p>
        </w:tc>
        <w:tc>
          <w:tcPr>
            <w:tcW w:w="2500" w:type="pct"/>
          </w:tcPr>
          <w:p w14:paraId="11818013" w14:textId="77777777" w:rsidR="00D44681" w:rsidRPr="009F231B" w:rsidRDefault="00D44681" w:rsidP="00FF2AD1">
            <w:pPr>
              <w:jc w:val="center"/>
              <w:rPr>
                <w:rFonts w:ascii="Arial" w:hAnsi="Arial" w:cs="Arial"/>
                <w:sz w:val="20"/>
                <w:szCs w:val="20"/>
              </w:rPr>
            </w:pPr>
            <w:r w:rsidRPr="009F231B">
              <w:rPr>
                <w:rFonts w:ascii="Arial" w:hAnsi="Arial" w:cs="Arial"/>
                <w:sz w:val="20"/>
                <w:szCs w:val="20"/>
              </w:rPr>
              <w:t>5,313,600</w:t>
            </w:r>
          </w:p>
        </w:tc>
      </w:tr>
      <w:tr w:rsidR="00D44681" w14:paraId="590083F7" w14:textId="77777777" w:rsidTr="00FF2AD1">
        <w:tc>
          <w:tcPr>
            <w:tcW w:w="2500" w:type="pct"/>
            <w:shd w:val="clear" w:color="auto" w:fill="D9E2F3" w:themeFill="accent1" w:themeFillTint="33"/>
          </w:tcPr>
          <w:p w14:paraId="1A9F60ED" w14:textId="77777777" w:rsidR="00D44681" w:rsidRPr="009F231B" w:rsidRDefault="00D44681" w:rsidP="00FF2AD1">
            <w:pPr>
              <w:jc w:val="center"/>
              <w:rPr>
                <w:rFonts w:ascii="Arial" w:hAnsi="Arial" w:cs="Arial"/>
                <w:b/>
                <w:bCs/>
                <w:sz w:val="20"/>
                <w:szCs w:val="20"/>
              </w:rPr>
            </w:pPr>
            <w:r w:rsidRPr="009F231B">
              <w:rPr>
                <w:rFonts w:ascii="Arial" w:hAnsi="Arial" w:cs="Arial"/>
                <w:b/>
                <w:bCs/>
                <w:sz w:val="20"/>
                <w:szCs w:val="20"/>
              </w:rPr>
              <w:t>2013</w:t>
            </w:r>
          </w:p>
        </w:tc>
        <w:tc>
          <w:tcPr>
            <w:tcW w:w="2500" w:type="pct"/>
          </w:tcPr>
          <w:p w14:paraId="6F563372" w14:textId="77777777" w:rsidR="00D44681" w:rsidRPr="009F231B" w:rsidRDefault="00D44681" w:rsidP="00FF2AD1">
            <w:pPr>
              <w:jc w:val="center"/>
              <w:rPr>
                <w:rFonts w:ascii="Arial" w:hAnsi="Arial" w:cs="Arial"/>
                <w:sz w:val="20"/>
                <w:szCs w:val="20"/>
              </w:rPr>
            </w:pPr>
            <w:r w:rsidRPr="009F231B">
              <w:rPr>
                <w:rFonts w:ascii="Arial" w:hAnsi="Arial" w:cs="Arial"/>
                <w:sz w:val="20"/>
                <w:szCs w:val="20"/>
              </w:rPr>
              <w:t>5,327,700</w:t>
            </w:r>
          </w:p>
        </w:tc>
      </w:tr>
      <w:tr w:rsidR="00D44681" w14:paraId="2B3F7BC2" w14:textId="77777777" w:rsidTr="00FF2AD1">
        <w:tc>
          <w:tcPr>
            <w:tcW w:w="2500" w:type="pct"/>
            <w:shd w:val="clear" w:color="auto" w:fill="D9E2F3" w:themeFill="accent1" w:themeFillTint="33"/>
          </w:tcPr>
          <w:p w14:paraId="03D375C6" w14:textId="77777777" w:rsidR="00D44681" w:rsidRPr="009F231B" w:rsidRDefault="00D44681" w:rsidP="00FF2AD1">
            <w:pPr>
              <w:jc w:val="center"/>
              <w:rPr>
                <w:rFonts w:ascii="Arial" w:hAnsi="Arial" w:cs="Arial"/>
                <w:b/>
                <w:bCs/>
                <w:sz w:val="20"/>
                <w:szCs w:val="20"/>
              </w:rPr>
            </w:pPr>
            <w:r w:rsidRPr="009F231B">
              <w:rPr>
                <w:rFonts w:ascii="Arial" w:hAnsi="Arial" w:cs="Arial"/>
                <w:b/>
                <w:bCs/>
                <w:sz w:val="20"/>
                <w:szCs w:val="20"/>
              </w:rPr>
              <w:t>2014</w:t>
            </w:r>
          </w:p>
        </w:tc>
        <w:tc>
          <w:tcPr>
            <w:tcW w:w="2500" w:type="pct"/>
          </w:tcPr>
          <w:p w14:paraId="6259D4A4" w14:textId="77777777" w:rsidR="00D44681" w:rsidRPr="009F231B" w:rsidRDefault="00D44681" w:rsidP="00FF2AD1">
            <w:pPr>
              <w:jc w:val="center"/>
              <w:rPr>
                <w:rFonts w:ascii="Arial" w:hAnsi="Arial" w:cs="Arial"/>
                <w:sz w:val="20"/>
                <w:szCs w:val="20"/>
              </w:rPr>
            </w:pPr>
            <w:r w:rsidRPr="009F231B">
              <w:rPr>
                <w:rFonts w:ascii="Arial" w:hAnsi="Arial" w:cs="Arial"/>
                <w:sz w:val="20"/>
                <w:szCs w:val="20"/>
              </w:rPr>
              <w:t>5,347,600</w:t>
            </w:r>
          </w:p>
        </w:tc>
      </w:tr>
      <w:tr w:rsidR="00D44681" w14:paraId="055A46AD" w14:textId="77777777" w:rsidTr="00FF2AD1">
        <w:tc>
          <w:tcPr>
            <w:tcW w:w="2500" w:type="pct"/>
            <w:shd w:val="clear" w:color="auto" w:fill="D9E2F3" w:themeFill="accent1" w:themeFillTint="33"/>
          </w:tcPr>
          <w:p w14:paraId="3D7B95B2" w14:textId="77777777" w:rsidR="00D44681" w:rsidRPr="009F231B" w:rsidRDefault="00D44681" w:rsidP="00FF2AD1">
            <w:pPr>
              <w:jc w:val="center"/>
              <w:rPr>
                <w:rFonts w:ascii="Arial" w:hAnsi="Arial" w:cs="Arial"/>
                <w:b/>
                <w:bCs/>
                <w:sz w:val="20"/>
                <w:szCs w:val="20"/>
              </w:rPr>
            </w:pPr>
            <w:r w:rsidRPr="009F231B">
              <w:rPr>
                <w:rFonts w:ascii="Arial" w:hAnsi="Arial" w:cs="Arial"/>
                <w:b/>
                <w:bCs/>
                <w:sz w:val="20"/>
                <w:szCs w:val="20"/>
              </w:rPr>
              <w:t>2015</w:t>
            </w:r>
          </w:p>
        </w:tc>
        <w:tc>
          <w:tcPr>
            <w:tcW w:w="2500" w:type="pct"/>
          </w:tcPr>
          <w:p w14:paraId="492AADCC" w14:textId="77777777" w:rsidR="00D44681" w:rsidRPr="009F231B" w:rsidRDefault="00D44681" w:rsidP="00FF2AD1">
            <w:pPr>
              <w:jc w:val="center"/>
              <w:rPr>
                <w:rFonts w:ascii="Arial" w:hAnsi="Arial" w:cs="Arial"/>
                <w:sz w:val="20"/>
                <w:szCs w:val="20"/>
              </w:rPr>
            </w:pPr>
            <w:r w:rsidRPr="009F231B">
              <w:rPr>
                <w:rFonts w:ascii="Arial" w:hAnsi="Arial" w:cs="Arial"/>
                <w:sz w:val="20"/>
                <w:szCs w:val="20"/>
              </w:rPr>
              <w:t>5,373,000</w:t>
            </w:r>
          </w:p>
        </w:tc>
      </w:tr>
      <w:tr w:rsidR="00D44681" w14:paraId="7AF2A102" w14:textId="77777777" w:rsidTr="00FF2AD1">
        <w:tc>
          <w:tcPr>
            <w:tcW w:w="2500" w:type="pct"/>
            <w:shd w:val="clear" w:color="auto" w:fill="D9E2F3" w:themeFill="accent1" w:themeFillTint="33"/>
          </w:tcPr>
          <w:p w14:paraId="73560CF9" w14:textId="77777777" w:rsidR="00D44681" w:rsidRPr="009F231B" w:rsidRDefault="00D44681" w:rsidP="00FF2AD1">
            <w:pPr>
              <w:jc w:val="center"/>
              <w:rPr>
                <w:rFonts w:ascii="Arial" w:hAnsi="Arial" w:cs="Arial"/>
                <w:b/>
                <w:bCs/>
                <w:sz w:val="20"/>
                <w:szCs w:val="20"/>
              </w:rPr>
            </w:pPr>
            <w:r w:rsidRPr="009F231B">
              <w:rPr>
                <w:rFonts w:ascii="Arial" w:hAnsi="Arial" w:cs="Arial"/>
                <w:b/>
                <w:bCs/>
                <w:sz w:val="20"/>
                <w:szCs w:val="20"/>
              </w:rPr>
              <w:t>2016</w:t>
            </w:r>
          </w:p>
        </w:tc>
        <w:tc>
          <w:tcPr>
            <w:tcW w:w="2500" w:type="pct"/>
          </w:tcPr>
          <w:p w14:paraId="473C9A27" w14:textId="77777777" w:rsidR="00D44681" w:rsidRPr="009F231B" w:rsidRDefault="00D44681" w:rsidP="00FF2AD1">
            <w:pPr>
              <w:jc w:val="center"/>
              <w:rPr>
                <w:rFonts w:ascii="Arial" w:hAnsi="Arial" w:cs="Arial"/>
                <w:sz w:val="20"/>
                <w:szCs w:val="20"/>
              </w:rPr>
            </w:pPr>
            <w:r w:rsidRPr="009F231B">
              <w:rPr>
                <w:rFonts w:ascii="Arial" w:hAnsi="Arial" w:cs="Arial"/>
                <w:sz w:val="20"/>
                <w:szCs w:val="20"/>
              </w:rPr>
              <w:t>5,404,700</w:t>
            </w:r>
          </w:p>
        </w:tc>
      </w:tr>
      <w:tr w:rsidR="00D44681" w14:paraId="0ECB3746" w14:textId="77777777" w:rsidTr="00FF2AD1">
        <w:tc>
          <w:tcPr>
            <w:tcW w:w="2500" w:type="pct"/>
            <w:shd w:val="clear" w:color="auto" w:fill="D9E2F3" w:themeFill="accent1" w:themeFillTint="33"/>
          </w:tcPr>
          <w:p w14:paraId="4917B792" w14:textId="77777777" w:rsidR="00D44681" w:rsidRPr="009F231B" w:rsidRDefault="00D44681" w:rsidP="00FF2AD1">
            <w:pPr>
              <w:jc w:val="center"/>
              <w:rPr>
                <w:rFonts w:ascii="Arial" w:hAnsi="Arial" w:cs="Arial"/>
                <w:b/>
                <w:bCs/>
                <w:sz w:val="20"/>
                <w:szCs w:val="20"/>
              </w:rPr>
            </w:pPr>
            <w:r w:rsidRPr="009F231B">
              <w:rPr>
                <w:rFonts w:ascii="Arial" w:hAnsi="Arial" w:cs="Arial"/>
                <w:b/>
                <w:bCs/>
                <w:sz w:val="20"/>
                <w:szCs w:val="20"/>
              </w:rPr>
              <w:t>2017</w:t>
            </w:r>
          </w:p>
        </w:tc>
        <w:tc>
          <w:tcPr>
            <w:tcW w:w="2500" w:type="pct"/>
          </w:tcPr>
          <w:p w14:paraId="2DEA40F8" w14:textId="77777777" w:rsidR="00D44681" w:rsidRPr="009F231B" w:rsidRDefault="00D44681" w:rsidP="00FF2AD1">
            <w:pPr>
              <w:jc w:val="center"/>
              <w:rPr>
                <w:rFonts w:ascii="Arial" w:hAnsi="Arial" w:cs="Arial"/>
                <w:sz w:val="20"/>
                <w:szCs w:val="20"/>
              </w:rPr>
            </w:pPr>
            <w:r w:rsidRPr="009F231B">
              <w:rPr>
                <w:rFonts w:ascii="Arial" w:hAnsi="Arial" w:cs="Arial"/>
                <w:sz w:val="20"/>
                <w:szCs w:val="20"/>
              </w:rPr>
              <w:t>5,424,800</w:t>
            </w:r>
          </w:p>
        </w:tc>
      </w:tr>
      <w:tr w:rsidR="00D44681" w14:paraId="71D454FF" w14:textId="77777777" w:rsidTr="00FF2AD1">
        <w:tc>
          <w:tcPr>
            <w:tcW w:w="2500" w:type="pct"/>
            <w:shd w:val="clear" w:color="auto" w:fill="D9E2F3" w:themeFill="accent1" w:themeFillTint="33"/>
          </w:tcPr>
          <w:p w14:paraId="25142F5B" w14:textId="77777777" w:rsidR="00D44681" w:rsidRPr="009F231B" w:rsidRDefault="00D44681" w:rsidP="00FF2AD1">
            <w:pPr>
              <w:jc w:val="center"/>
              <w:rPr>
                <w:rFonts w:ascii="Arial" w:hAnsi="Arial" w:cs="Arial"/>
                <w:b/>
                <w:bCs/>
                <w:sz w:val="20"/>
                <w:szCs w:val="20"/>
              </w:rPr>
            </w:pPr>
            <w:r w:rsidRPr="009F231B">
              <w:rPr>
                <w:rFonts w:ascii="Arial" w:hAnsi="Arial" w:cs="Arial"/>
                <w:b/>
                <w:bCs/>
                <w:sz w:val="20"/>
                <w:szCs w:val="20"/>
              </w:rPr>
              <w:t>2018</w:t>
            </w:r>
          </w:p>
        </w:tc>
        <w:tc>
          <w:tcPr>
            <w:tcW w:w="2500" w:type="pct"/>
          </w:tcPr>
          <w:p w14:paraId="12696F02" w14:textId="77777777" w:rsidR="00D44681" w:rsidRPr="009F231B" w:rsidRDefault="00D44681" w:rsidP="00FF2AD1">
            <w:pPr>
              <w:jc w:val="center"/>
              <w:rPr>
                <w:rFonts w:ascii="Arial" w:hAnsi="Arial" w:cs="Arial"/>
                <w:sz w:val="20"/>
                <w:szCs w:val="20"/>
              </w:rPr>
            </w:pPr>
            <w:r w:rsidRPr="009F231B">
              <w:rPr>
                <w:rFonts w:ascii="Arial" w:hAnsi="Arial" w:cs="Arial"/>
                <w:sz w:val="20"/>
                <w:szCs w:val="20"/>
              </w:rPr>
              <w:t>5,438,100</w:t>
            </w:r>
          </w:p>
        </w:tc>
      </w:tr>
      <w:tr w:rsidR="00D44681" w14:paraId="435CC04C" w14:textId="77777777" w:rsidTr="00FF2AD1">
        <w:tc>
          <w:tcPr>
            <w:tcW w:w="2500" w:type="pct"/>
            <w:shd w:val="clear" w:color="auto" w:fill="D9E2F3" w:themeFill="accent1" w:themeFillTint="33"/>
          </w:tcPr>
          <w:p w14:paraId="79CDC075" w14:textId="77777777" w:rsidR="00D44681" w:rsidRPr="009F231B" w:rsidRDefault="00D44681" w:rsidP="00FF2AD1">
            <w:pPr>
              <w:jc w:val="center"/>
              <w:rPr>
                <w:rFonts w:ascii="Arial" w:hAnsi="Arial" w:cs="Arial"/>
                <w:b/>
                <w:bCs/>
                <w:sz w:val="20"/>
                <w:szCs w:val="20"/>
              </w:rPr>
            </w:pPr>
            <w:r w:rsidRPr="009F231B">
              <w:rPr>
                <w:rFonts w:ascii="Arial" w:hAnsi="Arial" w:cs="Arial"/>
                <w:b/>
                <w:bCs/>
                <w:sz w:val="20"/>
                <w:szCs w:val="20"/>
              </w:rPr>
              <w:t>2019</w:t>
            </w:r>
          </w:p>
        </w:tc>
        <w:tc>
          <w:tcPr>
            <w:tcW w:w="2500" w:type="pct"/>
          </w:tcPr>
          <w:p w14:paraId="655D323A" w14:textId="77777777" w:rsidR="00D44681" w:rsidRPr="009F231B" w:rsidRDefault="00D44681" w:rsidP="00FF2AD1">
            <w:pPr>
              <w:jc w:val="center"/>
              <w:rPr>
                <w:rFonts w:ascii="Arial" w:hAnsi="Arial" w:cs="Arial"/>
                <w:sz w:val="20"/>
                <w:szCs w:val="20"/>
              </w:rPr>
            </w:pPr>
            <w:r w:rsidRPr="009F231B">
              <w:rPr>
                <w:rFonts w:ascii="Arial" w:hAnsi="Arial" w:cs="Arial"/>
                <w:sz w:val="20"/>
                <w:szCs w:val="20"/>
              </w:rPr>
              <w:t>5,463,300</w:t>
            </w:r>
          </w:p>
        </w:tc>
      </w:tr>
      <w:tr w:rsidR="00D44681" w14:paraId="11AD6AF9" w14:textId="77777777" w:rsidTr="00FF2AD1">
        <w:tc>
          <w:tcPr>
            <w:tcW w:w="2500" w:type="pct"/>
            <w:shd w:val="clear" w:color="auto" w:fill="D9E2F3" w:themeFill="accent1" w:themeFillTint="33"/>
          </w:tcPr>
          <w:p w14:paraId="584A0CA8" w14:textId="77777777" w:rsidR="00D44681" w:rsidRPr="009F231B" w:rsidRDefault="00D44681" w:rsidP="00FF2AD1">
            <w:pPr>
              <w:jc w:val="center"/>
              <w:rPr>
                <w:rFonts w:ascii="Arial" w:hAnsi="Arial" w:cs="Arial"/>
                <w:b/>
                <w:bCs/>
                <w:sz w:val="20"/>
                <w:szCs w:val="20"/>
              </w:rPr>
            </w:pPr>
            <w:r w:rsidRPr="009F231B">
              <w:rPr>
                <w:rFonts w:ascii="Arial" w:hAnsi="Arial" w:cs="Arial"/>
                <w:b/>
                <w:bCs/>
                <w:sz w:val="20"/>
                <w:szCs w:val="20"/>
              </w:rPr>
              <w:t>2020</w:t>
            </w:r>
          </w:p>
        </w:tc>
        <w:tc>
          <w:tcPr>
            <w:tcW w:w="2500" w:type="pct"/>
          </w:tcPr>
          <w:p w14:paraId="2BD47C33" w14:textId="77777777" w:rsidR="00D44681" w:rsidRPr="009F231B" w:rsidRDefault="00D44681" w:rsidP="00FF2AD1">
            <w:pPr>
              <w:jc w:val="center"/>
              <w:rPr>
                <w:rFonts w:ascii="Arial" w:hAnsi="Arial" w:cs="Arial"/>
                <w:sz w:val="20"/>
                <w:szCs w:val="20"/>
              </w:rPr>
            </w:pPr>
            <w:r w:rsidRPr="009F231B">
              <w:rPr>
                <w:rFonts w:ascii="Arial" w:hAnsi="Arial" w:cs="Arial"/>
                <w:sz w:val="20"/>
                <w:szCs w:val="20"/>
              </w:rPr>
              <w:t>5,466,000</w:t>
            </w:r>
          </w:p>
        </w:tc>
      </w:tr>
    </w:tbl>
    <w:p w14:paraId="44EDA002" w14:textId="77777777" w:rsidR="00D44681" w:rsidRDefault="00D44681" w:rsidP="00D44681"/>
    <w:p w14:paraId="1E65F33D" w14:textId="1253B5EA" w:rsidR="00C41A3E" w:rsidRDefault="00C41A3E" w:rsidP="00C41A3E">
      <w:pPr>
        <w:pStyle w:val="Heading1"/>
        <w:jc w:val="left"/>
      </w:pPr>
      <w:r>
        <w:br w:type="page"/>
      </w:r>
    </w:p>
    <w:p w14:paraId="5160D94E" w14:textId="697CD5C7" w:rsidR="001820E1" w:rsidRDefault="005F0FA9" w:rsidP="005F0FA9">
      <w:pPr>
        <w:pStyle w:val="Heading1"/>
        <w:jc w:val="left"/>
      </w:pPr>
      <w:bookmarkStart w:id="8" w:name="_Toc114677331"/>
      <w:r>
        <w:rPr>
          <w:b/>
          <w:bCs/>
        </w:rPr>
        <w:lastRenderedPageBreak/>
        <w:t xml:space="preserve">Supplementary </w:t>
      </w:r>
      <w:r w:rsidR="001820E1" w:rsidRPr="004E71B3">
        <w:rPr>
          <w:b/>
          <w:bCs/>
        </w:rPr>
        <w:t xml:space="preserve">Table </w:t>
      </w:r>
      <w:r>
        <w:rPr>
          <w:b/>
          <w:bCs/>
        </w:rPr>
        <w:t>S4</w:t>
      </w:r>
      <w:r w:rsidR="001820E1">
        <w:t xml:space="preserve">. </w:t>
      </w:r>
      <w:r w:rsidR="001820E1" w:rsidRPr="00407D4F">
        <w:t xml:space="preserve">Mid-year population estimates for </w:t>
      </w:r>
      <w:r w:rsidR="001820E1">
        <w:t>age and gender demographics in Scotland</w:t>
      </w:r>
      <w:bookmarkEnd w:id="8"/>
    </w:p>
    <w:tbl>
      <w:tblPr>
        <w:tblStyle w:val="TableGrid"/>
        <w:tblW w:w="5000" w:type="pct"/>
        <w:tblLook w:val="04A0" w:firstRow="1" w:lastRow="0" w:firstColumn="1" w:lastColumn="0" w:noHBand="0" w:noVBand="1"/>
      </w:tblPr>
      <w:tblGrid>
        <w:gridCol w:w="829"/>
        <w:gridCol w:w="1293"/>
        <w:gridCol w:w="1293"/>
        <w:gridCol w:w="1336"/>
        <w:gridCol w:w="1477"/>
        <w:gridCol w:w="1477"/>
        <w:gridCol w:w="1311"/>
      </w:tblGrid>
      <w:tr w:rsidR="00252133" w14:paraId="64972DB4" w14:textId="77777777" w:rsidTr="00295C98">
        <w:trPr>
          <w:trHeight w:val="227"/>
        </w:trPr>
        <w:tc>
          <w:tcPr>
            <w:tcW w:w="460" w:type="pct"/>
            <w:vMerge w:val="restart"/>
            <w:shd w:val="clear" w:color="auto" w:fill="D9E2F3" w:themeFill="accent1" w:themeFillTint="33"/>
            <w:vAlign w:val="center"/>
          </w:tcPr>
          <w:p w14:paraId="15BA9347"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Year</w:t>
            </w:r>
          </w:p>
        </w:tc>
        <w:tc>
          <w:tcPr>
            <w:tcW w:w="4540" w:type="pct"/>
            <w:gridSpan w:val="6"/>
            <w:shd w:val="clear" w:color="auto" w:fill="D9E2F3" w:themeFill="accent1" w:themeFillTint="33"/>
            <w:vAlign w:val="center"/>
          </w:tcPr>
          <w:p w14:paraId="31B0BEDF"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Mid-year population estimates (n)</w:t>
            </w:r>
          </w:p>
        </w:tc>
      </w:tr>
      <w:tr w:rsidR="00252133" w14:paraId="3EF9982C" w14:textId="77777777" w:rsidTr="00295C98">
        <w:trPr>
          <w:trHeight w:val="227"/>
        </w:trPr>
        <w:tc>
          <w:tcPr>
            <w:tcW w:w="460" w:type="pct"/>
            <w:vMerge/>
            <w:shd w:val="clear" w:color="auto" w:fill="D9E2F3" w:themeFill="accent1" w:themeFillTint="33"/>
          </w:tcPr>
          <w:p w14:paraId="16C1312E" w14:textId="77777777" w:rsidR="00252133" w:rsidRPr="009F231B" w:rsidRDefault="00252133" w:rsidP="00FF2AD1">
            <w:pPr>
              <w:jc w:val="center"/>
              <w:rPr>
                <w:rFonts w:ascii="Arial" w:hAnsi="Arial" w:cs="Arial"/>
                <w:b/>
                <w:bCs/>
                <w:sz w:val="20"/>
                <w:szCs w:val="20"/>
              </w:rPr>
            </w:pPr>
          </w:p>
        </w:tc>
        <w:tc>
          <w:tcPr>
            <w:tcW w:w="717" w:type="pct"/>
            <w:shd w:val="clear" w:color="auto" w:fill="D9E2F3" w:themeFill="accent1" w:themeFillTint="33"/>
            <w:vAlign w:val="center"/>
          </w:tcPr>
          <w:p w14:paraId="0C885C93"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Female</w:t>
            </w:r>
          </w:p>
        </w:tc>
        <w:tc>
          <w:tcPr>
            <w:tcW w:w="717" w:type="pct"/>
            <w:shd w:val="clear" w:color="auto" w:fill="D9E2F3" w:themeFill="accent1" w:themeFillTint="33"/>
            <w:vAlign w:val="center"/>
          </w:tcPr>
          <w:p w14:paraId="665422FB"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Male</w:t>
            </w:r>
          </w:p>
        </w:tc>
        <w:tc>
          <w:tcPr>
            <w:tcW w:w="741" w:type="pct"/>
            <w:shd w:val="clear" w:color="auto" w:fill="D9E2F3" w:themeFill="accent1" w:themeFillTint="33"/>
            <w:vAlign w:val="center"/>
          </w:tcPr>
          <w:p w14:paraId="44CEDE23"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0-29 Years</w:t>
            </w:r>
          </w:p>
        </w:tc>
        <w:tc>
          <w:tcPr>
            <w:tcW w:w="819" w:type="pct"/>
            <w:shd w:val="clear" w:color="auto" w:fill="D9E2F3" w:themeFill="accent1" w:themeFillTint="33"/>
            <w:vAlign w:val="center"/>
          </w:tcPr>
          <w:p w14:paraId="4F2CAE38"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30-49 Years</w:t>
            </w:r>
          </w:p>
        </w:tc>
        <w:tc>
          <w:tcPr>
            <w:tcW w:w="819" w:type="pct"/>
            <w:shd w:val="clear" w:color="auto" w:fill="D9E2F3" w:themeFill="accent1" w:themeFillTint="33"/>
            <w:vAlign w:val="center"/>
          </w:tcPr>
          <w:p w14:paraId="00247B74"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50-69 Years</w:t>
            </w:r>
          </w:p>
        </w:tc>
        <w:tc>
          <w:tcPr>
            <w:tcW w:w="727" w:type="pct"/>
            <w:shd w:val="clear" w:color="auto" w:fill="D9E2F3" w:themeFill="accent1" w:themeFillTint="33"/>
            <w:vAlign w:val="center"/>
          </w:tcPr>
          <w:p w14:paraId="12A0D434"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70+ Years</w:t>
            </w:r>
          </w:p>
        </w:tc>
      </w:tr>
      <w:tr w:rsidR="00252133" w14:paraId="6CFF3EC0" w14:textId="77777777" w:rsidTr="00295C98">
        <w:trPr>
          <w:trHeight w:val="227"/>
        </w:trPr>
        <w:tc>
          <w:tcPr>
            <w:tcW w:w="460" w:type="pct"/>
            <w:shd w:val="clear" w:color="auto" w:fill="D9E2F3" w:themeFill="accent1" w:themeFillTint="33"/>
          </w:tcPr>
          <w:p w14:paraId="084FAA8F"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2010</w:t>
            </w:r>
          </w:p>
        </w:tc>
        <w:tc>
          <w:tcPr>
            <w:tcW w:w="717" w:type="pct"/>
          </w:tcPr>
          <w:p w14:paraId="734EDC14"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2,713,982</w:t>
            </w:r>
          </w:p>
        </w:tc>
        <w:tc>
          <w:tcPr>
            <w:tcW w:w="717" w:type="pct"/>
          </w:tcPr>
          <w:p w14:paraId="335DEAF2"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2,548,218</w:t>
            </w:r>
          </w:p>
        </w:tc>
        <w:tc>
          <w:tcPr>
            <w:tcW w:w="741" w:type="pct"/>
          </w:tcPr>
          <w:p w14:paraId="350B0D2C"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1,884,669</w:t>
            </w:r>
          </w:p>
        </w:tc>
        <w:tc>
          <w:tcPr>
            <w:tcW w:w="819" w:type="pct"/>
          </w:tcPr>
          <w:p w14:paraId="040520DD"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1,467,621</w:t>
            </w:r>
          </w:p>
        </w:tc>
        <w:tc>
          <w:tcPr>
            <w:tcW w:w="819" w:type="pct"/>
          </w:tcPr>
          <w:p w14:paraId="53CA6386"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1,284,671</w:t>
            </w:r>
          </w:p>
        </w:tc>
        <w:tc>
          <w:tcPr>
            <w:tcW w:w="727" w:type="pct"/>
          </w:tcPr>
          <w:p w14:paraId="1658F016"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625,239</w:t>
            </w:r>
          </w:p>
        </w:tc>
      </w:tr>
      <w:tr w:rsidR="00252133" w14:paraId="40BF2CB3" w14:textId="77777777" w:rsidTr="00295C98">
        <w:trPr>
          <w:trHeight w:val="227"/>
        </w:trPr>
        <w:tc>
          <w:tcPr>
            <w:tcW w:w="460" w:type="pct"/>
            <w:shd w:val="clear" w:color="auto" w:fill="D9E2F3" w:themeFill="accent1" w:themeFillTint="33"/>
          </w:tcPr>
          <w:p w14:paraId="171745E3"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2011</w:t>
            </w:r>
          </w:p>
        </w:tc>
        <w:tc>
          <w:tcPr>
            <w:tcW w:w="717" w:type="pct"/>
          </w:tcPr>
          <w:p w14:paraId="72E0CBEF"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2,729,600</w:t>
            </w:r>
          </w:p>
        </w:tc>
        <w:tc>
          <w:tcPr>
            <w:tcW w:w="717" w:type="pct"/>
          </w:tcPr>
          <w:p w14:paraId="34FC920D"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2,570,300</w:t>
            </w:r>
          </w:p>
        </w:tc>
        <w:tc>
          <w:tcPr>
            <w:tcW w:w="741" w:type="pct"/>
          </w:tcPr>
          <w:p w14:paraId="587BCADF"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1,893,512</w:t>
            </w:r>
          </w:p>
        </w:tc>
        <w:tc>
          <w:tcPr>
            <w:tcW w:w="819" w:type="pct"/>
          </w:tcPr>
          <w:p w14:paraId="2022B829"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1,464,320</w:t>
            </w:r>
          </w:p>
        </w:tc>
        <w:tc>
          <w:tcPr>
            <w:tcW w:w="819" w:type="pct"/>
          </w:tcPr>
          <w:p w14:paraId="6EFFCCFE"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1,310,117</w:t>
            </w:r>
          </w:p>
        </w:tc>
        <w:tc>
          <w:tcPr>
            <w:tcW w:w="727" w:type="pct"/>
          </w:tcPr>
          <w:p w14:paraId="66680CC7"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631,951</w:t>
            </w:r>
          </w:p>
        </w:tc>
      </w:tr>
      <w:tr w:rsidR="00252133" w14:paraId="76573A97" w14:textId="77777777" w:rsidTr="00295C98">
        <w:trPr>
          <w:trHeight w:val="227"/>
        </w:trPr>
        <w:tc>
          <w:tcPr>
            <w:tcW w:w="460" w:type="pct"/>
            <w:shd w:val="clear" w:color="auto" w:fill="D9E2F3" w:themeFill="accent1" w:themeFillTint="33"/>
          </w:tcPr>
          <w:p w14:paraId="012292EB"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2012</w:t>
            </w:r>
          </w:p>
        </w:tc>
        <w:tc>
          <w:tcPr>
            <w:tcW w:w="717" w:type="pct"/>
          </w:tcPr>
          <w:p w14:paraId="266AE437"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2,736,310</w:t>
            </w:r>
          </w:p>
        </w:tc>
        <w:tc>
          <w:tcPr>
            <w:tcW w:w="717" w:type="pct"/>
          </w:tcPr>
          <w:p w14:paraId="6DC1D737"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2,577,290</w:t>
            </w:r>
          </w:p>
        </w:tc>
        <w:tc>
          <w:tcPr>
            <w:tcW w:w="741" w:type="pct"/>
          </w:tcPr>
          <w:p w14:paraId="406A3807"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1,890,570</w:t>
            </w:r>
          </w:p>
        </w:tc>
        <w:tc>
          <w:tcPr>
            <w:tcW w:w="819" w:type="pct"/>
          </w:tcPr>
          <w:p w14:paraId="45F43B16"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1,450,663</w:t>
            </w:r>
          </w:p>
        </w:tc>
        <w:tc>
          <w:tcPr>
            <w:tcW w:w="819" w:type="pct"/>
          </w:tcPr>
          <w:p w14:paraId="458B8CF7"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1,332,371</w:t>
            </w:r>
          </w:p>
        </w:tc>
        <w:tc>
          <w:tcPr>
            <w:tcW w:w="727" w:type="pct"/>
          </w:tcPr>
          <w:p w14:paraId="15ABAEA2"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639,996</w:t>
            </w:r>
          </w:p>
        </w:tc>
      </w:tr>
      <w:tr w:rsidR="00252133" w14:paraId="69A6C3B6" w14:textId="77777777" w:rsidTr="00295C98">
        <w:trPr>
          <w:trHeight w:val="227"/>
        </w:trPr>
        <w:tc>
          <w:tcPr>
            <w:tcW w:w="460" w:type="pct"/>
            <w:shd w:val="clear" w:color="auto" w:fill="D9E2F3" w:themeFill="accent1" w:themeFillTint="33"/>
          </w:tcPr>
          <w:p w14:paraId="0B6FA679"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2013</w:t>
            </w:r>
          </w:p>
        </w:tc>
        <w:tc>
          <w:tcPr>
            <w:tcW w:w="717" w:type="pct"/>
          </w:tcPr>
          <w:p w14:paraId="55522DEC"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2,741,020</w:t>
            </w:r>
          </w:p>
        </w:tc>
        <w:tc>
          <w:tcPr>
            <w:tcW w:w="717" w:type="pct"/>
          </w:tcPr>
          <w:p w14:paraId="4CB898E4"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2,586,680</w:t>
            </w:r>
          </w:p>
        </w:tc>
        <w:tc>
          <w:tcPr>
            <w:tcW w:w="741" w:type="pct"/>
          </w:tcPr>
          <w:p w14:paraId="60CE3AB8"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1,887,723</w:t>
            </w:r>
          </w:p>
        </w:tc>
        <w:tc>
          <w:tcPr>
            <w:tcW w:w="819" w:type="pct"/>
          </w:tcPr>
          <w:p w14:paraId="62AF8127"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1,436,912</w:t>
            </w:r>
          </w:p>
        </w:tc>
        <w:tc>
          <w:tcPr>
            <w:tcW w:w="819" w:type="pct"/>
          </w:tcPr>
          <w:p w14:paraId="01FAACFB"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1,353,549</w:t>
            </w:r>
          </w:p>
        </w:tc>
        <w:tc>
          <w:tcPr>
            <w:tcW w:w="727" w:type="pct"/>
          </w:tcPr>
          <w:p w14:paraId="08CADDAC"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649,516</w:t>
            </w:r>
          </w:p>
        </w:tc>
      </w:tr>
      <w:tr w:rsidR="00252133" w14:paraId="3C756434" w14:textId="77777777" w:rsidTr="00295C98">
        <w:trPr>
          <w:trHeight w:val="227"/>
        </w:trPr>
        <w:tc>
          <w:tcPr>
            <w:tcW w:w="460" w:type="pct"/>
            <w:shd w:val="clear" w:color="auto" w:fill="D9E2F3" w:themeFill="accent1" w:themeFillTint="33"/>
          </w:tcPr>
          <w:p w14:paraId="3DAEFEBD"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2014</w:t>
            </w:r>
          </w:p>
        </w:tc>
        <w:tc>
          <w:tcPr>
            <w:tcW w:w="717" w:type="pct"/>
          </w:tcPr>
          <w:p w14:paraId="7D6F7D36"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2,751,070</w:t>
            </w:r>
          </w:p>
        </w:tc>
        <w:tc>
          <w:tcPr>
            <w:tcW w:w="717" w:type="pct"/>
          </w:tcPr>
          <w:p w14:paraId="392377AE"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2,596,530</w:t>
            </w:r>
          </w:p>
        </w:tc>
        <w:tc>
          <w:tcPr>
            <w:tcW w:w="741" w:type="pct"/>
          </w:tcPr>
          <w:p w14:paraId="20B319D1"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1,886,847</w:t>
            </w:r>
          </w:p>
        </w:tc>
        <w:tc>
          <w:tcPr>
            <w:tcW w:w="819" w:type="pct"/>
          </w:tcPr>
          <w:p w14:paraId="11F224F8"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1,423,205</w:t>
            </w:r>
          </w:p>
        </w:tc>
        <w:tc>
          <w:tcPr>
            <w:tcW w:w="819" w:type="pct"/>
          </w:tcPr>
          <w:p w14:paraId="118100DC"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1,374,675</w:t>
            </w:r>
          </w:p>
        </w:tc>
        <w:tc>
          <w:tcPr>
            <w:tcW w:w="727" w:type="pct"/>
          </w:tcPr>
          <w:p w14:paraId="1D0AA555"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662,873</w:t>
            </w:r>
          </w:p>
        </w:tc>
      </w:tr>
      <w:tr w:rsidR="00252133" w14:paraId="41D525E1" w14:textId="77777777" w:rsidTr="00295C98">
        <w:trPr>
          <w:trHeight w:val="227"/>
        </w:trPr>
        <w:tc>
          <w:tcPr>
            <w:tcW w:w="460" w:type="pct"/>
            <w:shd w:val="clear" w:color="auto" w:fill="D9E2F3" w:themeFill="accent1" w:themeFillTint="33"/>
          </w:tcPr>
          <w:p w14:paraId="7E91ECD0"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2015</w:t>
            </w:r>
          </w:p>
        </w:tc>
        <w:tc>
          <w:tcPr>
            <w:tcW w:w="717" w:type="pct"/>
          </w:tcPr>
          <w:p w14:paraId="3F36E42B"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2,762,531</w:t>
            </w:r>
          </w:p>
        </w:tc>
        <w:tc>
          <w:tcPr>
            <w:tcW w:w="717" w:type="pct"/>
          </w:tcPr>
          <w:p w14:paraId="37DC2229"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2,610,469</w:t>
            </w:r>
          </w:p>
        </w:tc>
        <w:tc>
          <w:tcPr>
            <w:tcW w:w="741" w:type="pct"/>
          </w:tcPr>
          <w:p w14:paraId="13173EE3"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1,891,211</w:t>
            </w:r>
          </w:p>
        </w:tc>
        <w:tc>
          <w:tcPr>
            <w:tcW w:w="819" w:type="pct"/>
          </w:tcPr>
          <w:p w14:paraId="7DD44295"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1,413,680</w:t>
            </w:r>
          </w:p>
        </w:tc>
        <w:tc>
          <w:tcPr>
            <w:tcW w:w="819" w:type="pct"/>
          </w:tcPr>
          <w:p w14:paraId="530B5034"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1,398,066</w:t>
            </w:r>
          </w:p>
        </w:tc>
        <w:tc>
          <w:tcPr>
            <w:tcW w:w="727" w:type="pct"/>
          </w:tcPr>
          <w:p w14:paraId="7410C151"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670,043</w:t>
            </w:r>
          </w:p>
        </w:tc>
      </w:tr>
      <w:tr w:rsidR="00252133" w14:paraId="45828F97" w14:textId="77777777" w:rsidTr="00295C98">
        <w:trPr>
          <w:trHeight w:val="227"/>
        </w:trPr>
        <w:tc>
          <w:tcPr>
            <w:tcW w:w="460" w:type="pct"/>
            <w:shd w:val="clear" w:color="auto" w:fill="D9E2F3" w:themeFill="accent1" w:themeFillTint="33"/>
          </w:tcPr>
          <w:p w14:paraId="291B007B"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2016</w:t>
            </w:r>
          </w:p>
        </w:tc>
        <w:tc>
          <w:tcPr>
            <w:tcW w:w="717" w:type="pct"/>
          </w:tcPr>
          <w:p w14:paraId="0BEE3D10"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2,777,197</w:t>
            </w:r>
          </w:p>
        </w:tc>
        <w:tc>
          <w:tcPr>
            <w:tcW w:w="717" w:type="pct"/>
          </w:tcPr>
          <w:p w14:paraId="4DA94223"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2,627,503</w:t>
            </w:r>
          </w:p>
        </w:tc>
        <w:tc>
          <w:tcPr>
            <w:tcW w:w="741" w:type="pct"/>
          </w:tcPr>
          <w:p w14:paraId="715B22D0"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1,897,229</w:t>
            </w:r>
          </w:p>
        </w:tc>
        <w:tc>
          <w:tcPr>
            <w:tcW w:w="819" w:type="pct"/>
          </w:tcPr>
          <w:p w14:paraId="50536732"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1,409,555</w:t>
            </w:r>
          </w:p>
        </w:tc>
        <w:tc>
          <w:tcPr>
            <w:tcW w:w="819" w:type="pct"/>
          </w:tcPr>
          <w:p w14:paraId="2AAAB6B7"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1,416,588</w:t>
            </w:r>
          </w:p>
        </w:tc>
        <w:tc>
          <w:tcPr>
            <w:tcW w:w="727" w:type="pct"/>
          </w:tcPr>
          <w:p w14:paraId="7230643E"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681,328</w:t>
            </w:r>
          </w:p>
        </w:tc>
      </w:tr>
      <w:tr w:rsidR="00252133" w14:paraId="2189E13D" w14:textId="77777777" w:rsidTr="00295C98">
        <w:trPr>
          <w:trHeight w:val="227"/>
        </w:trPr>
        <w:tc>
          <w:tcPr>
            <w:tcW w:w="460" w:type="pct"/>
            <w:shd w:val="clear" w:color="auto" w:fill="D9E2F3" w:themeFill="accent1" w:themeFillTint="33"/>
          </w:tcPr>
          <w:p w14:paraId="3CCB7171"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2017</w:t>
            </w:r>
          </w:p>
        </w:tc>
        <w:tc>
          <w:tcPr>
            <w:tcW w:w="717" w:type="pct"/>
          </w:tcPr>
          <w:p w14:paraId="63CBD0DE"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2,784,500</w:t>
            </w:r>
          </w:p>
        </w:tc>
        <w:tc>
          <w:tcPr>
            <w:tcW w:w="717" w:type="pct"/>
          </w:tcPr>
          <w:p w14:paraId="1D18C62B"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2,640,300</w:t>
            </w:r>
          </w:p>
        </w:tc>
        <w:tc>
          <w:tcPr>
            <w:tcW w:w="741" w:type="pct"/>
          </w:tcPr>
          <w:p w14:paraId="5A771A37"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1,893,051</w:t>
            </w:r>
          </w:p>
        </w:tc>
        <w:tc>
          <w:tcPr>
            <w:tcW w:w="819" w:type="pct"/>
          </w:tcPr>
          <w:p w14:paraId="26358B78"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1,404,236</w:t>
            </w:r>
          </w:p>
        </w:tc>
        <w:tc>
          <w:tcPr>
            <w:tcW w:w="819" w:type="pct"/>
          </w:tcPr>
          <w:p w14:paraId="6F344C1D"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1,420,012</w:t>
            </w:r>
          </w:p>
        </w:tc>
        <w:tc>
          <w:tcPr>
            <w:tcW w:w="727" w:type="pct"/>
          </w:tcPr>
          <w:p w14:paraId="4458E65A"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707,501</w:t>
            </w:r>
          </w:p>
        </w:tc>
      </w:tr>
      <w:tr w:rsidR="00252133" w14:paraId="3C8CE7AF" w14:textId="77777777" w:rsidTr="00295C98">
        <w:trPr>
          <w:trHeight w:val="227"/>
        </w:trPr>
        <w:tc>
          <w:tcPr>
            <w:tcW w:w="460" w:type="pct"/>
            <w:shd w:val="clear" w:color="auto" w:fill="D9E2F3" w:themeFill="accent1" w:themeFillTint="33"/>
          </w:tcPr>
          <w:p w14:paraId="4192B322"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2018</w:t>
            </w:r>
          </w:p>
        </w:tc>
        <w:tc>
          <w:tcPr>
            <w:tcW w:w="717" w:type="pct"/>
          </w:tcPr>
          <w:p w14:paraId="33EEEE41"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2,789,349</w:t>
            </w:r>
          </w:p>
        </w:tc>
        <w:tc>
          <w:tcPr>
            <w:tcW w:w="717" w:type="pct"/>
          </w:tcPr>
          <w:p w14:paraId="7036F15A"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2,648,751</w:t>
            </w:r>
          </w:p>
        </w:tc>
        <w:tc>
          <w:tcPr>
            <w:tcW w:w="741" w:type="pct"/>
          </w:tcPr>
          <w:p w14:paraId="06D5FD50"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1,883,269</w:t>
            </w:r>
          </w:p>
        </w:tc>
        <w:tc>
          <w:tcPr>
            <w:tcW w:w="819" w:type="pct"/>
          </w:tcPr>
          <w:p w14:paraId="5A63A407"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1,401,064</w:t>
            </w:r>
          </w:p>
        </w:tc>
        <w:tc>
          <w:tcPr>
            <w:tcW w:w="819" w:type="pct"/>
          </w:tcPr>
          <w:p w14:paraId="3B9882B3"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1,428,066</w:t>
            </w:r>
          </w:p>
        </w:tc>
        <w:tc>
          <w:tcPr>
            <w:tcW w:w="727" w:type="pct"/>
          </w:tcPr>
          <w:p w14:paraId="64DAE4EB"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725,701</w:t>
            </w:r>
          </w:p>
        </w:tc>
      </w:tr>
      <w:tr w:rsidR="00252133" w14:paraId="3012849B" w14:textId="77777777" w:rsidTr="00295C98">
        <w:trPr>
          <w:trHeight w:val="227"/>
        </w:trPr>
        <w:tc>
          <w:tcPr>
            <w:tcW w:w="460" w:type="pct"/>
            <w:shd w:val="clear" w:color="auto" w:fill="D9E2F3" w:themeFill="accent1" w:themeFillTint="33"/>
          </w:tcPr>
          <w:p w14:paraId="04A0F606"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2019</w:t>
            </w:r>
          </w:p>
        </w:tc>
        <w:tc>
          <w:tcPr>
            <w:tcW w:w="717" w:type="pct"/>
          </w:tcPr>
          <w:p w14:paraId="2E0B08AA"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2,800,297</w:t>
            </w:r>
          </w:p>
        </w:tc>
        <w:tc>
          <w:tcPr>
            <w:tcW w:w="717" w:type="pct"/>
          </w:tcPr>
          <w:p w14:paraId="78583C58"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2,663,003</w:t>
            </w:r>
          </w:p>
        </w:tc>
        <w:tc>
          <w:tcPr>
            <w:tcW w:w="741" w:type="pct"/>
          </w:tcPr>
          <w:p w14:paraId="6C0FECF5"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1,877,374</w:t>
            </w:r>
          </w:p>
        </w:tc>
        <w:tc>
          <w:tcPr>
            <w:tcW w:w="819" w:type="pct"/>
          </w:tcPr>
          <w:p w14:paraId="3A026FE9"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1,402,875</w:t>
            </w:r>
          </w:p>
        </w:tc>
        <w:tc>
          <w:tcPr>
            <w:tcW w:w="819" w:type="pct"/>
          </w:tcPr>
          <w:p w14:paraId="0A8C0FB2"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1,438,350</w:t>
            </w:r>
          </w:p>
        </w:tc>
        <w:tc>
          <w:tcPr>
            <w:tcW w:w="727" w:type="pct"/>
          </w:tcPr>
          <w:p w14:paraId="3A42CF2B"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744,701</w:t>
            </w:r>
          </w:p>
        </w:tc>
      </w:tr>
      <w:tr w:rsidR="00252133" w14:paraId="5327780E" w14:textId="77777777" w:rsidTr="00295C98">
        <w:trPr>
          <w:trHeight w:val="227"/>
        </w:trPr>
        <w:tc>
          <w:tcPr>
            <w:tcW w:w="460" w:type="pct"/>
            <w:shd w:val="clear" w:color="auto" w:fill="D9E2F3" w:themeFill="accent1" w:themeFillTint="33"/>
          </w:tcPr>
          <w:p w14:paraId="5175FBEF" w14:textId="77777777" w:rsidR="00252133" w:rsidRPr="009F231B" w:rsidRDefault="00252133" w:rsidP="00FF2AD1">
            <w:pPr>
              <w:jc w:val="center"/>
              <w:rPr>
                <w:rFonts w:ascii="Arial" w:hAnsi="Arial" w:cs="Arial"/>
                <w:b/>
                <w:bCs/>
                <w:sz w:val="20"/>
                <w:szCs w:val="20"/>
              </w:rPr>
            </w:pPr>
            <w:r w:rsidRPr="009F231B">
              <w:rPr>
                <w:rFonts w:ascii="Arial" w:hAnsi="Arial" w:cs="Arial"/>
                <w:b/>
                <w:bCs/>
                <w:sz w:val="20"/>
                <w:szCs w:val="20"/>
              </w:rPr>
              <w:t>2020</w:t>
            </w:r>
          </w:p>
        </w:tc>
        <w:tc>
          <w:tcPr>
            <w:tcW w:w="717" w:type="pct"/>
          </w:tcPr>
          <w:p w14:paraId="364EE08F"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2,800,788</w:t>
            </w:r>
          </w:p>
        </w:tc>
        <w:tc>
          <w:tcPr>
            <w:tcW w:w="717" w:type="pct"/>
          </w:tcPr>
          <w:p w14:paraId="0B099489"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2,665,212</w:t>
            </w:r>
          </w:p>
        </w:tc>
        <w:tc>
          <w:tcPr>
            <w:tcW w:w="741" w:type="pct"/>
          </w:tcPr>
          <w:p w14:paraId="0994034C"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1,860,869</w:t>
            </w:r>
          </w:p>
        </w:tc>
        <w:tc>
          <w:tcPr>
            <w:tcW w:w="819" w:type="pct"/>
          </w:tcPr>
          <w:p w14:paraId="0E4F1E94"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1,404,025</w:t>
            </w:r>
          </w:p>
        </w:tc>
        <w:tc>
          <w:tcPr>
            <w:tcW w:w="819" w:type="pct"/>
          </w:tcPr>
          <w:p w14:paraId="0C54CE70"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1,445,459</w:t>
            </w:r>
          </w:p>
        </w:tc>
        <w:tc>
          <w:tcPr>
            <w:tcW w:w="727" w:type="pct"/>
          </w:tcPr>
          <w:p w14:paraId="2C805AC8" w14:textId="77777777" w:rsidR="00252133" w:rsidRPr="009F231B" w:rsidRDefault="00252133" w:rsidP="00FF2AD1">
            <w:pPr>
              <w:jc w:val="center"/>
              <w:rPr>
                <w:rFonts w:ascii="Arial" w:hAnsi="Arial" w:cs="Arial"/>
                <w:sz w:val="20"/>
                <w:szCs w:val="20"/>
              </w:rPr>
            </w:pPr>
            <w:r w:rsidRPr="009F231B">
              <w:rPr>
                <w:rFonts w:ascii="Arial" w:hAnsi="Arial" w:cs="Arial"/>
                <w:sz w:val="20"/>
                <w:szCs w:val="20"/>
              </w:rPr>
              <w:t>755,647</w:t>
            </w:r>
          </w:p>
        </w:tc>
      </w:tr>
    </w:tbl>
    <w:p w14:paraId="6B116773" w14:textId="77777777" w:rsidR="00252133" w:rsidRPr="00252133" w:rsidRDefault="00252133" w:rsidP="00252133"/>
    <w:p w14:paraId="32279AC4" w14:textId="4B2A3176" w:rsidR="00523FE8" w:rsidRDefault="00523FE8" w:rsidP="008C262F">
      <w:pPr>
        <w:pStyle w:val="Heading1"/>
        <w:jc w:val="left"/>
      </w:pPr>
      <w:r>
        <w:br w:type="page"/>
      </w:r>
    </w:p>
    <w:p w14:paraId="2CB86B10" w14:textId="77777777" w:rsidR="002A1F4D" w:rsidRDefault="002A1F4D" w:rsidP="00582737">
      <w:pPr>
        <w:pStyle w:val="Heading1"/>
        <w:sectPr w:rsidR="002A1F4D" w:rsidSect="00C41A3E">
          <w:pgSz w:w="11906" w:h="16838"/>
          <w:pgMar w:top="1440" w:right="1440" w:bottom="1440" w:left="1440" w:header="708" w:footer="708" w:gutter="0"/>
          <w:cols w:space="708"/>
          <w:docGrid w:linePitch="360"/>
        </w:sectPr>
      </w:pPr>
    </w:p>
    <w:p w14:paraId="312279BE" w14:textId="12757D93" w:rsidR="004013F4" w:rsidRDefault="00DA3378" w:rsidP="00DA3378">
      <w:pPr>
        <w:pStyle w:val="Heading1"/>
        <w:jc w:val="left"/>
      </w:pPr>
      <w:bookmarkStart w:id="9" w:name="_Toc80703652"/>
      <w:bookmarkStart w:id="10" w:name="_Toc114677332"/>
      <w:r>
        <w:rPr>
          <w:b/>
          <w:bCs/>
        </w:rPr>
        <w:lastRenderedPageBreak/>
        <w:t xml:space="preserve">Supplementary </w:t>
      </w:r>
      <w:r w:rsidR="004013F4" w:rsidRPr="003A1967">
        <w:rPr>
          <w:b/>
          <w:bCs/>
        </w:rPr>
        <w:t xml:space="preserve">Table </w:t>
      </w:r>
      <w:r>
        <w:rPr>
          <w:b/>
          <w:bCs/>
        </w:rPr>
        <w:t>S5</w:t>
      </w:r>
      <w:r w:rsidR="004013F4" w:rsidRPr="003A1967">
        <w:rPr>
          <w:b/>
          <w:bCs/>
        </w:rPr>
        <w:t>.</w:t>
      </w:r>
      <w:r w:rsidR="004013F4">
        <w:t xml:space="preserve"> </w:t>
      </w:r>
      <w:r w:rsidR="004013F4" w:rsidRPr="0086735D">
        <w:t xml:space="preserve">Results of the </w:t>
      </w:r>
      <w:r w:rsidR="004013F4">
        <w:t>controlled</w:t>
      </w:r>
      <w:r w:rsidR="004013F4" w:rsidRPr="0086735D">
        <w:t xml:space="preserve"> interrupted time series analysis of </w:t>
      </w:r>
      <w:r w:rsidR="004013F4">
        <w:t>weak</w:t>
      </w:r>
      <w:r w:rsidR="004013F4" w:rsidRPr="00181D91">
        <w:rPr>
          <w:vertAlign w:val="superscript"/>
        </w:rPr>
        <w:t>1</w:t>
      </w:r>
      <w:r w:rsidR="004013F4">
        <w:t xml:space="preserve"> compared to strong </w:t>
      </w:r>
      <w:r w:rsidR="004013F4" w:rsidRPr="0086735D">
        <w:t>opioid</w:t>
      </w:r>
      <w:r w:rsidR="004013F4" w:rsidRPr="00181D91">
        <w:rPr>
          <w:vertAlign w:val="superscript"/>
        </w:rPr>
        <w:t>2</w:t>
      </w:r>
      <w:r w:rsidR="004013F4" w:rsidRPr="0086735D">
        <w:t xml:space="preserve"> </w:t>
      </w:r>
      <w:r w:rsidR="004013F4">
        <w:t>p</w:t>
      </w:r>
      <w:r w:rsidR="004013F4" w:rsidRPr="0086735D">
        <w:t xml:space="preserve">rescribing </w:t>
      </w:r>
      <w:r w:rsidR="004013F4">
        <w:t>rates</w:t>
      </w:r>
      <w:r w:rsidR="004013F4" w:rsidRPr="0086735D">
        <w:t xml:space="preserve"> </w:t>
      </w:r>
      <w:r w:rsidR="004013F4">
        <w:t>in</w:t>
      </w:r>
      <w:r w:rsidR="004013F4" w:rsidRPr="0086735D">
        <w:t xml:space="preserve"> Scotland</w:t>
      </w:r>
      <w:bookmarkEnd w:id="9"/>
      <w:bookmarkEnd w:id="10"/>
    </w:p>
    <w:tbl>
      <w:tblPr>
        <w:tblStyle w:val="PlainTable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999"/>
        <w:gridCol w:w="2577"/>
        <w:gridCol w:w="1560"/>
        <w:gridCol w:w="880"/>
      </w:tblGrid>
      <w:tr w:rsidR="004013F4" w:rsidRPr="0086735D" w14:paraId="580B0332" w14:textId="77777777" w:rsidTr="00B97EAE">
        <w:trPr>
          <w:cnfStyle w:val="000000100000" w:firstRow="0" w:lastRow="0" w:firstColumn="0" w:lastColumn="0" w:oddVBand="0" w:evenVBand="0" w:oddHBand="1" w:evenHBand="0" w:firstRowFirstColumn="0" w:firstRowLastColumn="0" w:lastRowFirstColumn="0" w:lastRowLastColumn="0"/>
        </w:trPr>
        <w:tc>
          <w:tcPr>
            <w:tcW w:w="2218" w:type="pct"/>
            <w:shd w:val="clear" w:color="auto" w:fill="D9E2F3" w:themeFill="accent1" w:themeFillTint="33"/>
            <w:vAlign w:val="center"/>
          </w:tcPr>
          <w:p w14:paraId="12A53C2D" w14:textId="77777777" w:rsidR="004013F4" w:rsidRPr="004013F4" w:rsidRDefault="004013F4" w:rsidP="001C3C90">
            <w:pPr>
              <w:jc w:val="center"/>
              <w:rPr>
                <w:rFonts w:cstheme="minorHAnsi"/>
                <w:b/>
              </w:rPr>
            </w:pPr>
          </w:p>
        </w:tc>
        <w:tc>
          <w:tcPr>
            <w:tcW w:w="1429" w:type="pct"/>
            <w:shd w:val="clear" w:color="auto" w:fill="D9E2F3" w:themeFill="accent1" w:themeFillTint="33"/>
            <w:vAlign w:val="center"/>
          </w:tcPr>
          <w:p w14:paraId="68024F21" w14:textId="77777777" w:rsidR="004013F4" w:rsidRPr="004013F4" w:rsidRDefault="004013F4" w:rsidP="001C3C90">
            <w:pPr>
              <w:jc w:val="center"/>
              <w:rPr>
                <w:rFonts w:cstheme="minorHAnsi"/>
                <w:b/>
              </w:rPr>
            </w:pPr>
            <w:r w:rsidRPr="004013F4">
              <w:rPr>
                <w:rFonts w:cstheme="minorHAnsi"/>
                <w:b/>
              </w:rPr>
              <w:t>Estimate</w:t>
            </w:r>
          </w:p>
          <w:p w14:paraId="3BA29B73" w14:textId="77777777" w:rsidR="004013F4" w:rsidRPr="004013F4" w:rsidRDefault="004013F4" w:rsidP="001C3C90">
            <w:pPr>
              <w:jc w:val="center"/>
              <w:rPr>
                <w:rFonts w:cstheme="minorHAnsi"/>
                <w:b/>
              </w:rPr>
            </w:pPr>
            <w:r w:rsidRPr="004013F4">
              <w:rPr>
                <w:rFonts w:cstheme="minorHAnsi"/>
                <w:b/>
              </w:rPr>
              <w:t>(95% Confidence Interval)</w:t>
            </w:r>
          </w:p>
        </w:tc>
        <w:tc>
          <w:tcPr>
            <w:tcW w:w="865" w:type="pct"/>
            <w:shd w:val="clear" w:color="auto" w:fill="D9E2F3" w:themeFill="accent1" w:themeFillTint="33"/>
            <w:vAlign w:val="center"/>
          </w:tcPr>
          <w:p w14:paraId="68326B48" w14:textId="77777777" w:rsidR="004013F4" w:rsidRPr="004013F4" w:rsidRDefault="004013F4" w:rsidP="001C3C90">
            <w:pPr>
              <w:jc w:val="center"/>
              <w:rPr>
                <w:rFonts w:cstheme="minorHAnsi"/>
                <w:b/>
              </w:rPr>
            </w:pPr>
            <w:r w:rsidRPr="004013F4">
              <w:rPr>
                <w:rFonts w:cstheme="minorHAnsi"/>
                <w:b/>
              </w:rPr>
              <w:t>Standard Error</w:t>
            </w:r>
          </w:p>
        </w:tc>
        <w:tc>
          <w:tcPr>
            <w:tcW w:w="488" w:type="pct"/>
            <w:shd w:val="clear" w:color="auto" w:fill="D9E2F3" w:themeFill="accent1" w:themeFillTint="33"/>
            <w:vAlign w:val="center"/>
          </w:tcPr>
          <w:p w14:paraId="714AA78F" w14:textId="77777777" w:rsidR="004013F4" w:rsidRPr="004013F4" w:rsidRDefault="004013F4" w:rsidP="001C3C90">
            <w:pPr>
              <w:jc w:val="center"/>
              <w:rPr>
                <w:rFonts w:cstheme="minorHAnsi"/>
                <w:b/>
              </w:rPr>
            </w:pPr>
            <w:r w:rsidRPr="004013F4">
              <w:rPr>
                <w:rFonts w:cstheme="minorHAnsi"/>
                <w:b/>
              </w:rPr>
              <w:t>P value</w:t>
            </w:r>
          </w:p>
        </w:tc>
      </w:tr>
      <w:tr w:rsidR="004013F4" w:rsidRPr="0086735D" w14:paraId="35D6DD22" w14:textId="77777777" w:rsidTr="00B97EAE">
        <w:tc>
          <w:tcPr>
            <w:tcW w:w="2218" w:type="pct"/>
          </w:tcPr>
          <w:p w14:paraId="398684E2" w14:textId="77777777" w:rsidR="004013F4" w:rsidRPr="004013F4" w:rsidRDefault="004013F4" w:rsidP="001C3C90">
            <w:pPr>
              <w:rPr>
                <w:rFonts w:cstheme="minorHAnsi"/>
              </w:rPr>
            </w:pPr>
            <w:r w:rsidRPr="004013F4">
              <w:rPr>
                <w:rFonts w:cstheme="minorHAnsi"/>
              </w:rPr>
              <w:t>Difference in Intercept, β</w:t>
            </w:r>
            <w:r w:rsidRPr="004013F4">
              <w:rPr>
                <w:rFonts w:cstheme="minorHAnsi"/>
                <w:vertAlign w:val="subscript"/>
              </w:rPr>
              <w:t>4</w:t>
            </w:r>
          </w:p>
        </w:tc>
        <w:tc>
          <w:tcPr>
            <w:tcW w:w="1429" w:type="pct"/>
            <w:vAlign w:val="center"/>
          </w:tcPr>
          <w:p w14:paraId="78A4A545" w14:textId="77777777" w:rsidR="004013F4" w:rsidRPr="004013F4" w:rsidRDefault="004013F4" w:rsidP="001C3C90">
            <w:pPr>
              <w:jc w:val="center"/>
              <w:rPr>
                <w:rFonts w:cstheme="minorHAnsi"/>
              </w:rPr>
            </w:pPr>
            <w:r w:rsidRPr="004013F4">
              <w:rPr>
                <w:rFonts w:cstheme="minorHAnsi"/>
              </w:rPr>
              <w:t>154.12 (150.22, 158.02)</w:t>
            </w:r>
          </w:p>
        </w:tc>
        <w:tc>
          <w:tcPr>
            <w:tcW w:w="865" w:type="pct"/>
            <w:vAlign w:val="center"/>
          </w:tcPr>
          <w:p w14:paraId="5F6539BB" w14:textId="77777777" w:rsidR="004013F4" w:rsidRPr="004013F4" w:rsidRDefault="004013F4" w:rsidP="001C3C90">
            <w:pPr>
              <w:jc w:val="center"/>
              <w:rPr>
                <w:rFonts w:cstheme="minorHAnsi"/>
              </w:rPr>
            </w:pPr>
            <w:r w:rsidRPr="004013F4">
              <w:rPr>
                <w:rFonts w:cstheme="minorHAnsi"/>
              </w:rPr>
              <w:t>1.97</w:t>
            </w:r>
          </w:p>
        </w:tc>
        <w:tc>
          <w:tcPr>
            <w:tcW w:w="488" w:type="pct"/>
            <w:vAlign w:val="center"/>
          </w:tcPr>
          <w:p w14:paraId="4964A9E7" w14:textId="77777777" w:rsidR="004013F4" w:rsidRPr="004013F4" w:rsidRDefault="004013F4" w:rsidP="001C3C90">
            <w:pPr>
              <w:jc w:val="center"/>
              <w:rPr>
                <w:rFonts w:cstheme="minorHAnsi"/>
              </w:rPr>
            </w:pPr>
            <w:r w:rsidRPr="004013F4">
              <w:rPr>
                <w:rFonts w:cstheme="minorHAnsi"/>
              </w:rPr>
              <w:t>&lt;0.01</w:t>
            </w:r>
          </w:p>
        </w:tc>
      </w:tr>
      <w:tr w:rsidR="004013F4" w:rsidRPr="0086735D" w14:paraId="37401B24" w14:textId="77777777" w:rsidTr="00B97EAE">
        <w:trPr>
          <w:cnfStyle w:val="000000100000" w:firstRow="0" w:lastRow="0" w:firstColumn="0" w:lastColumn="0" w:oddVBand="0" w:evenVBand="0" w:oddHBand="1" w:evenHBand="0" w:firstRowFirstColumn="0" w:firstRowLastColumn="0" w:lastRowFirstColumn="0" w:lastRowLastColumn="0"/>
        </w:trPr>
        <w:tc>
          <w:tcPr>
            <w:tcW w:w="2218" w:type="pct"/>
          </w:tcPr>
          <w:p w14:paraId="0EEE2F81" w14:textId="77777777" w:rsidR="004013F4" w:rsidRPr="004013F4" w:rsidRDefault="004013F4" w:rsidP="001C3C90">
            <w:pPr>
              <w:rPr>
                <w:rFonts w:cstheme="minorHAnsi"/>
              </w:rPr>
            </w:pPr>
            <w:r w:rsidRPr="004013F4">
              <w:rPr>
                <w:rFonts w:cstheme="minorHAnsi"/>
              </w:rPr>
              <w:t>Difference in Pre-Intervention Trend, β</w:t>
            </w:r>
            <w:r w:rsidRPr="004013F4">
              <w:rPr>
                <w:rFonts w:cstheme="minorHAnsi"/>
                <w:vertAlign w:val="subscript"/>
              </w:rPr>
              <w:t>5</w:t>
            </w:r>
          </w:p>
        </w:tc>
        <w:tc>
          <w:tcPr>
            <w:tcW w:w="1429" w:type="pct"/>
            <w:vAlign w:val="center"/>
          </w:tcPr>
          <w:p w14:paraId="62A12CA5" w14:textId="77777777" w:rsidR="004013F4" w:rsidRPr="004013F4" w:rsidRDefault="004013F4" w:rsidP="001C3C90">
            <w:pPr>
              <w:jc w:val="center"/>
              <w:rPr>
                <w:rFonts w:cstheme="minorHAnsi"/>
              </w:rPr>
            </w:pPr>
            <w:r w:rsidRPr="004013F4">
              <w:rPr>
                <w:rFonts w:cstheme="minorHAnsi"/>
              </w:rPr>
              <w:t>0.54 (0.36, 0.73)</w:t>
            </w:r>
          </w:p>
        </w:tc>
        <w:tc>
          <w:tcPr>
            <w:tcW w:w="865" w:type="pct"/>
            <w:vAlign w:val="center"/>
          </w:tcPr>
          <w:p w14:paraId="5C3AAC67" w14:textId="77777777" w:rsidR="004013F4" w:rsidRPr="004013F4" w:rsidRDefault="004013F4" w:rsidP="001C3C90">
            <w:pPr>
              <w:jc w:val="center"/>
              <w:rPr>
                <w:rFonts w:cstheme="minorHAnsi"/>
              </w:rPr>
            </w:pPr>
            <w:r w:rsidRPr="004013F4">
              <w:rPr>
                <w:rFonts w:cstheme="minorHAnsi"/>
              </w:rPr>
              <w:t>0.09</w:t>
            </w:r>
          </w:p>
        </w:tc>
        <w:tc>
          <w:tcPr>
            <w:tcW w:w="488" w:type="pct"/>
            <w:vAlign w:val="center"/>
          </w:tcPr>
          <w:p w14:paraId="51F4CBED" w14:textId="77777777" w:rsidR="004013F4" w:rsidRPr="004013F4" w:rsidRDefault="004013F4" w:rsidP="001C3C90">
            <w:pPr>
              <w:jc w:val="center"/>
              <w:rPr>
                <w:rFonts w:cstheme="minorHAnsi"/>
              </w:rPr>
            </w:pPr>
            <w:r w:rsidRPr="004013F4">
              <w:rPr>
                <w:rFonts w:cstheme="minorHAnsi"/>
              </w:rPr>
              <w:t>&lt;0.01</w:t>
            </w:r>
          </w:p>
        </w:tc>
      </w:tr>
      <w:tr w:rsidR="004013F4" w:rsidRPr="0086735D" w14:paraId="6A80B96F" w14:textId="77777777" w:rsidTr="00B97EAE">
        <w:tc>
          <w:tcPr>
            <w:tcW w:w="2218" w:type="pct"/>
          </w:tcPr>
          <w:p w14:paraId="315DF7F7" w14:textId="77777777" w:rsidR="004013F4" w:rsidRPr="004013F4" w:rsidRDefault="004013F4" w:rsidP="001C3C90">
            <w:pPr>
              <w:rPr>
                <w:rFonts w:cstheme="minorHAnsi"/>
              </w:rPr>
            </w:pPr>
            <w:r w:rsidRPr="004013F4">
              <w:rPr>
                <w:rFonts w:cstheme="minorHAnsi"/>
              </w:rPr>
              <w:t>Difference in Change in Level, β</w:t>
            </w:r>
            <w:r w:rsidRPr="004013F4">
              <w:rPr>
                <w:rFonts w:cstheme="minorHAnsi"/>
                <w:vertAlign w:val="subscript"/>
              </w:rPr>
              <w:t>6</w:t>
            </w:r>
          </w:p>
        </w:tc>
        <w:tc>
          <w:tcPr>
            <w:tcW w:w="1429" w:type="pct"/>
            <w:vAlign w:val="center"/>
          </w:tcPr>
          <w:p w14:paraId="7CFE87EF" w14:textId="77777777" w:rsidR="004013F4" w:rsidRPr="004013F4" w:rsidRDefault="004013F4" w:rsidP="001C3C90">
            <w:pPr>
              <w:jc w:val="center"/>
              <w:rPr>
                <w:rFonts w:cstheme="minorHAnsi"/>
              </w:rPr>
            </w:pPr>
            <w:r w:rsidRPr="004013F4">
              <w:rPr>
                <w:rFonts w:cstheme="minorHAnsi"/>
              </w:rPr>
              <w:t>0.41 (-5.54, 6.36)</w:t>
            </w:r>
          </w:p>
        </w:tc>
        <w:tc>
          <w:tcPr>
            <w:tcW w:w="865" w:type="pct"/>
            <w:vAlign w:val="center"/>
          </w:tcPr>
          <w:p w14:paraId="4BB1C76C" w14:textId="77777777" w:rsidR="004013F4" w:rsidRPr="004013F4" w:rsidRDefault="004013F4" w:rsidP="001C3C90">
            <w:pPr>
              <w:jc w:val="center"/>
              <w:rPr>
                <w:rFonts w:cstheme="minorHAnsi"/>
              </w:rPr>
            </w:pPr>
            <w:r w:rsidRPr="004013F4">
              <w:rPr>
                <w:rFonts w:cstheme="minorHAnsi"/>
              </w:rPr>
              <w:t>3.00</w:t>
            </w:r>
          </w:p>
        </w:tc>
        <w:tc>
          <w:tcPr>
            <w:tcW w:w="488" w:type="pct"/>
            <w:vAlign w:val="center"/>
          </w:tcPr>
          <w:p w14:paraId="7E3C4DC7" w14:textId="77777777" w:rsidR="004013F4" w:rsidRPr="004013F4" w:rsidRDefault="004013F4" w:rsidP="001C3C90">
            <w:pPr>
              <w:jc w:val="center"/>
              <w:rPr>
                <w:rFonts w:cstheme="minorHAnsi"/>
              </w:rPr>
            </w:pPr>
            <w:r w:rsidRPr="004013F4">
              <w:rPr>
                <w:rFonts w:cstheme="minorHAnsi"/>
              </w:rPr>
              <w:t>0.89</w:t>
            </w:r>
          </w:p>
        </w:tc>
      </w:tr>
      <w:tr w:rsidR="004013F4" w:rsidRPr="0086735D" w14:paraId="00584FDE" w14:textId="77777777" w:rsidTr="00B97EAE">
        <w:trPr>
          <w:cnfStyle w:val="000000100000" w:firstRow="0" w:lastRow="0" w:firstColumn="0" w:lastColumn="0" w:oddVBand="0" w:evenVBand="0" w:oddHBand="1" w:evenHBand="0" w:firstRowFirstColumn="0" w:firstRowLastColumn="0" w:lastRowFirstColumn="0" w:lastRowLastColumn="0"/>
        </w:trPr>
        <w:tc>
          <w:tcPr>
            <w:tcW w:w="2218" w:type="pct"/>
          </w:tcPr>
          <w:p w14:paraId="6756D820" w14:textId="77777777" w:rsidR="004013F4" w:rsidRPr="004013F4" w:rsidRDefault="004013F4" w:rsidP="001C3C90">
            <w:pPr>
              <w:rPr>
                <w:rFonts w:cstheme="minorHAnsi"/>
              </w:rPr>
            </w:pPr>
            <w:r w:rsidRPr="004013F4">
              <w:rPr>
                <w:rFonts w:cstheme="minorHAnsi"/>
              </w:rPr>
              <w:t>Difference in Change in Trend, β</w:t>
            </w:r>
            <w:r w:rsidRPr="004013F4">
              <w:rPr>
                <w:rFonts w:cstheme="minorHAnsi"/>
                <w:vertAlign w:val="subscript"/>
              </w:rPr>
              <w:t>7</w:t>
            </w:r>
          </w:p>
        </w:tc>
        <w:tc>
          <w:tcPr>
            <w:tcW w:w="1429" w:type="pct"/>
            <w:vAlign w:val="center"/>
          </w:tcPr>
          <w:p w14:paraId="09AE26AF" w14:textId="77777777" w:rsidR="004013F4" w:rsidRPr="004013F4" w:rsidRDefault="004013F4" w:rsidP="001C3C90">
            <w:pPr>
              <w:jc w:val="center"/>
              <w:rPr>
                <w:rFonts w:cstheme="minorHAnsi"/>
              </w:rPr>
            </w:pPr>
            <w:r w:rsidRPr="004013F4">
              <w:rPr>
                <w:rFonts w:cstheme="minorHAnsi"/>
              </w:rPr>
              <w:t>-1.72 (-2.07, -1.37)</w:t>
            </w:r>
          </w:p>
        </w:tc>
        <w:tc>
          <w:tcPr>
            <w:tcW w:w="865" w:type="pct"/>
            <w:vAlign w:val="center"/>
          </w:tcPr>
          <w:p w14:paraId="790EBFFE" w14:textId="77777777" w:rsidR="004013F4" w:rsidRPr="004013F4" w:rsidRDefault="004013F4" w:rsidP="001C3C90">
            <w:pPr>
              <w:jc w:val="center"/>
              <w:rPr>
                <w:rFonts w:cstheme="minorHAnsi"/>
              </w:rPr>
            </w:pPr>
            <w:r w:rsidRPr="004013F4">
              <w:rPr>
                <w:rFonts w:cstheme="minorHAnsi"/>
              </w:rPr>
              <w:t>0.18</w:t>
            </w:r>
          </w:p>
        </w:tc>
        <w:tc>
          <w:tcPr>
            <w:tcW w:w="488" w:type="pct"/>
            <w:vAlign w:val="center"/>
          </w:tcPr>
          <w:p w14:paraId="45E86ADC" w14:textId="77777777" w:rsidR="004013F4" w:rsidRPr="004013F4" w:rsidRDefault="004013F4" w:rsidP="001C3C90">
            <w:pPr>
              <w:jc w:val="center"/>
              <w:rPr>
                <w:rFonts w:cstheme="minorHAnsi"/>
              </w:rPr>
            </w:pPr>
            <w:r w:rsidRPr="004013F4">
              <w:rPr>
                <w:rFonts w:cstheme="minorHAnsi"/>
              </w:rPr>
              <w:t>&lt;0.01</w:t>
            </w:r>
          </w:p>
        </w:tc>
      </w:tr>
      <w:tr w:rsidR="004013F4" w:rsidRPr="0086735D" w14:paraId="7E388867" w14:textId="77777777" w:rsidTr="00B97EAE">
        <w:tc>
          <w:tcPr>
            <w:tcW w:w="2218" w:type="pct"/>
          </w:tcPr>
          <w:p w14:paraId="56FCB83C" w14:textId="77777777" w:rsidR="004013F4" w:rsidRPr="004013F4" w:rsidRDefault="004013F4" w:rsidP="001C3C90">
            <w:pPr>
              <w:rPr>
                <w:rFonts w:cstheme="minorHAnsi"/>
                <w:bCs/>
              </w:rPr>
            </w:pPr>
            <w:r w:rsidRPr="004013F4">
              <w:rPr>
                <w:rFonts w:cstheme="minorHAnsi"/>
              </w:rPr>
              <w:t>Difference in Post-Intervention Trend, β</w:t>
            </w:r>
            <w:r w:rsidRPr="004013F4">
              <w:rPr>
                <w:rFonts w:cstheme="minorHAnsi"/>
                <w:vertAlign w:val="subscript"/>
              </w:rPr>
              <w:t>5+7</w:t>
            </w:r>
          </w:p>
        </w:tc>
        <w:tc>
          <w:tcPr>
            <w:tcW w:w="1429" w:type="pct"/>
          </w:tcPr>
          <w:p w14:paraId="3834C5AB" w14:textId="77777777" w:rsidR="004013F4" w:rsidRPr="004013F4" w:rsidRDefault="004013F4" w:rsidP="001C3C90">
            <w:pPr>
              <w:jc w:val="center"/>
              <w:rPr>
                <w:rFonts w:cstheme="minorHAnsi"/>
              </w:rPr>
            </w:pPr>
            <w:r w:rsidRPr="004013F4">
              <w:rPr>
                <w:rFonts w:cstheme="minorHAnsi"/>
              </w:rPr>
              <w:t>-1.18 (-1.45, -0.91)</w:t>
            </w:r>
          </w:p>
        </w:tc>
        <w:tc>
          <w:tcPr>
            <w:tcW w:w="865" w:type="pct"/>
          </w:tcPr>
          <w:p w14:paraId="5B8FFA40" w14:textId="77777777" w:rsidR="004013F4" w:rsidRPr="004013F4" w:rsidRDefault="004013F4" w:rsidP="001C3C90">
            <w:pPr>
              <w:jc w:val="center"/>
              <w:rPr>
                <w:rFonts w:cstheme="minorHAnsi"/>
              </w:rPr>
            </w:pPr>
            <w:r w:rsidRPr="004013F4">
              <w:rPr>
                <w:rFonts w:cstheme="minorHAnsi"/>
              </w:rPr>
              <w:t>0.13</w:t>
            </w:r>
          </w:p>
        </w:tc>
        <w:tc>
          <w:tcPr>
            <w:tcW w:w="488" w:type="pct"/>
          </w:tcPr>
          <w:p w14:paraId="3D804DE1" w14:textId="77777777" w:rsidR="004013F4" w:rsidRPr="004013F4" w:rsidRDefault="004013F4" w:rsidP="001C3C90">
            <w:pPr>
              <w:jc w:val="center"/>
              <w:rPr>
                <w:rFonts w:cstheme="minorHAnsi"/>
              </w:rPr>
            </w:pPr>
            <w:r w:rsidRPr="004013F4">
              <w:rPr>
                <w:rFonts w:cstheme="minorHAnsi"/>
              </w:rPr>
              <w:t>&lt;0.01</w:t>
            </w:r>
          </w:p>
        </w:tc>
      </w:tr>
      <w:tr w:rsidR="004013F4" w:rsidRPr="0086735D" w14:paraId="51C7ABEF" w14:textId="77777777" w:rsidTr="00B97EAE">
        <w:trPr>
          <w:cnfStyle w:val="000000100000" w:firstRow="0" w:lastRow="0" w:firstColumn="0" w:lastColumn="0" w:oddVBand="0" w:evenVBand="0" w:oddHBand="1" w:evenHBand="0" w:firstRowFirstColumn="0" w:firstRowLastColumn="0" w:lastRowFirstColumn="0" w:lastRowLastColumn="0"/>
        </w:trPr>
        <w:tc>
          <w:tcPr>
            <w:tcW w:w="2218" w:type="pct"/>
          </w:tcPr>
          <w:p w14:paraId="59D5C530" w14:textId="77777777" w:rsidR="004013F4" w:rsidRPr="004013F4" w:rsidRDefault="004013F4" w:rsidP="001C3C90">
            <w:pPr>
              <w:rPr>
                <w:rFonts w:cstheme="minorHAnsi"/>
                <w:bCs/>
              </w:rPr>
            </w:pPr>
            <w:r w:rsidRPr="004013F4">
              <w:rPr>
                <w:rFonts w:cstheme="minorHAnsi"/>
              </w:rPr>
              <w:t>Durbin-Watson Statistic</w:t>
            </w:r>
          </w:p>
        </w:tc>
        <w:tc>
          <w:tcPr>
            <w:tcW w:w="1429" w:type="pct"/>
          </w:tcPr>
          <w:p w14:paraId="78FAA052" w14:textId="77777777" w:rsidR="004013F4" w:rsidRPr="004013F4" w:rsidRDefault="004013F4" w:rsidP="001C3C90">
            <w:pPr>
              <w:jc w:val="center"/>
              <w:rPr>
                <w:rFonts w:cstheme="minorHAnsi"/>
              </w:rPr>
            </w:pPr>
            <w:r w:rsidRPr="004013F4">
              <w:rPr>
                <w:rFonts w:cstheme="minorHAnsi"/>
              </w:rPr>
              <w:t>1.64</w:t>
            </w:r>
          </w:p>
        </w:tc>
        <w:tc>
          <w:tcPr>
            <w:tcW w:w="865" w:type="pct"/>
          </w:tcPr>
          <w:p w14:paraId="41E55A7B" w14:textId="77777777" w:rsidR="004013F4" w:rsidRPr="004013F4" w:rsidRDefault="004013F4" w:rsidP="001C3C90">
            <w:pPr>
              <w:jc w:val="center"/>
              <w:rPr>
                <w:rFonts w:cstheme="minorHAnsi"/>
              </w:rPr>
            </w:pPr>
            <w:r w:rsidRPr="004013F4">
              <w:rPr>
                <w:rFonts w:cstheme="minorHAnsi"/>
              </w:rPr>
              <w:t>n/a</w:t>
            </w:r>
          </w:p>
        </w:tc>
        <w:tc>
          <w:tcPr>
            <w:tcW w:w="488" w:type="pct"/>
          </w:tcPr>
          <w:p w14:paraId="16CD01B8" w14:textId="77777777" w:rsidR="004013F4" w:rsidRPr="004013F4" w:rsidRDefault="004013F4" w:rsidP="001C3C90">
            <w:pPr>
              <w:jc w:val="center"/>
              <w:rPr>
                <w:rFonts w:cstheme="minorHAnsi"/>
              </w:rPr>
            </w:pPr>
            <w:r w:rsidRPr="004013F4">
              <w:rPr>
                <w:rFonts w:cstheme="minorHAnsi"/>
              </w:rPr>
              <w:t>n/a</w:t>
            </w:r>
          </w:p>
        </w:tc>
      </w:tr>
    </w:tbl>
    <w:p w14:paraId="40A2F253" w14:textId="1A8A4BD3" w:rsidR="00DE6F56" w:rsidRDefault="00DE6F56" w:rsidP="00DE6F56">
      <w:pPr>
        <w:spacing w:after="0"/>
        <w:rPr>
          <w:rFonts w:ascii="Arial" w:hAnsi="Arial" w:cs="Arial"/>
          <w:sz w:val="24"/>
          <w:szCs w:val="24"/>
        </w:rPr>
      </w:pPr>
      <w:r w:rsidRPr="00291577">
        <w:rPr>
          <w:rFonts w:ascii="Arial" w:hAnsi="Arial" w:cs="Arial"/>
          <w:sz w:val="24"/>
          <w:szCs w:val="24"/>
        </w:rPr>
        <w:t>β</w:t>
      </w:r>
      <w:r>
        <w:rPr>
          <w:rFonts w:ascii="Arial" w:hAnsi="Arial" w:cs="Arial"/>
          <w:sz w:val="24"/>
          <w:szCs w:val="24"/>
          <w:vertAlign w:val="subscript"/>
        </w:rPr>
        <w:t>4-7</w:t>
      </w:r>
      <w:r>
        <w:rPr>
          <w:rFonts w:ascii="Arial" w:hAnsi="Arial" w:cs="Arial"/>
          <w:sz w:val="24"/>
          <w:szCs w:val="24"/>
        </w:rPr>
        <w:t xml:space="preserve"> are coefficients from the controlled interrupted time series analysis model; the intercept represents the outcome at the start of the study period.    </w:t>
      </w:r>
      <w:r w:rsidRPr="0086735D">
        <w:rPr>
          <w:rFonts w:ascii="Arial" w:hAnsi="Arial" w:cs="Arial"/>
          <w:sz w:val="24"/>
          <w:szCs w:val="24"/>
        </w:rPr>
        <w:t xml:space="preserve"> </w:t>
      </w:r>
    </w:p>
    <w:p w14:paraId="6CF6E3AE" w14:textId="77777777" w:rsidR="004013F4" w:rsidRDefault="004013F4" w:rsidP="004013F4">
      <w:pPr>
        <w:spacing w:after="0"/>
        <w:rPr>
          <w:rFonts w:ascii="Arial" w:hAnsi="Arial" w:cs="Arial"/>
          <w:sz w:val="24"/>
          <w:szCs w:val="24"/>
        </w:rPr>
      </w:pPr>
      <w:r>
        <w:rPr>
          <w:rFonts w:ascii="Arial" w:hAnsi="Arial" w:cs="Arial"/>
          <w:sz w:val="24"/>
          <w:szCs w:val="24"/>
          <w:vertAlign w:val="superscript"/>
        </w:rPr>
        <w:t>1</w:t>
      </w:r>
      <w:r>
        <w:rPr>
          <w:rFonts w:ascii="Arial" w:hAnsi="Arial" w:cs="Arial"/>
          <w:sz w:val="24"/>
          <w:szCs w:val="24"/>
        </w:rPr>
        <w:t>Weak opioids are the following and their compounds: codeine, dihydrocodeine, meptazinol and tramadol</w:t>
      </w:r>
    </w:p>
    <w:p w14:paraId="56898385" w14:textId="77777777" w:rsidR="004013F4" w:rsidRDefault="004013F4" w:rsidP="004013F4">
      <w:pPr>
        <w:spacing w:after="0"/>
        <w:rPr>
          <w:rFonts w:ascii="Arial" w:hAnsi="Arial" w:cs="Arial"/>
          <w:sz w:val="24"/>
          <w:szCs w:val="24"/>
        </w:rPr>
      </w:pPr>
      <w:r w:rsidRPr="009931AC">
        <w:rPr>
          <w:rFonts w:ascii="Arial" w:hAnsi="Arial" w:cs="Arial"/>
          <w:sz w:val="24"/>
          <w:szCs w:val="24"/>
          <w:vertAlign w:val="superscript"/>
        </w:rPr>
        <w:t>2</w:t>
      </w:r>
      <w:r>
        <w:rPr>
          <w:rFonts w:ascii="Arial" w:hAnsi="Arial" w:cs="Arial"/>
          <w:sz w:val="24"/>
          <w:szCs w:val="24"/>
        </w:rPr>
        <w:t xml:space="preserve">Strong opioids are the following and their compounds: buprenorphine, diamorphine, dipipanone, fentanyl, hydromorphone, methadone, morphine, oxycodone, papaveretum, pentazocine, pethidine and </w:t>
      </w:r>
      <w:proofErr w:type="spellStart"/>
      <w:r>
        <w:rPr>
          <w:rFonts w:ascii="Arial" w:hAnsi="Arial" w:cs="Arial"/>
          <w:sz w:val="24"/>
          <w:szCs w:val="24"/>
        </w:rPr>
        <w:t>tapentadol</w:t>
      </w:r>
      <w:proofErr w:type="spellEnd"/>
      <w:r>
        <w:rPr>
          <w:rFonts w:ascii="Arial" w:hAnsi="Arial" w:cs="Arial"/>
          <w:sz w:val="24"/>
          <w:szCs w:val="24"/>
        </w:rPr>
        <w:t xml:space="preserve">  </w:t>
      </w:r>
    </w:p>
    <w:p w14:paraId="343C2E85" w14:textId="77777777" w:rsidR="00F112FA" w:rsidRDefault="00F112FA" w:rsidP="003C1F52">
      <w:pPr>
        <w:pStyle w:val="Heading1"/>
        <w:jc w:val="left"/>
        <w:rPr>
          <w:b/>
          <w:bCs/>
        </w:rPr>
        <w:sectPr w:rsidR="00F112FA" w:rsidSect="00CF7D6D">
          <w:pgSz w:w="11906" w:h="16838"/>
          <w:pgMar w:top="1440" w:right="1440" w:bottom="1440" w:left="1440" w:header="708" w:footer="708" w:gutter="0"/>
          <w:cols w:space="708"/>
          <w:docGrid w:linePitch="360"/>
        </w:sectPr>
      </w:pPr>
    </w:p>
    <w:p w14:paraId="571A5826" w14:textId="73906D8E" w:rsidR="003C1F52" w:rsidRDefault="003C1F52" w:rsidP="003C1F52">
      <w:pPr>
        <w:pStyle w:val="Heading1"/>
        <w:jc w:val="left"/>
        <w:rPr>
          <w:szCs w:val="24"/>
        </w:rPr>
      </w:pPr>
      <w:bookmarkStart w:id="11" w:name="_Toc114677333"/>
      <w:r w:rsidRPr="003A1967">
        <w:rPr>
          <w:b/>
          <w:bCs/>
        </w:rPr>
        <w:lastRenderedPageBreak/>
        <w:t>Supplementary Table S</w:t>
      </w:r>
      <w:r w:rsidR="00B97EAE">
        <w:rPr>
          <w:b/>
          <w:bCs/>
        </w:rPr>
        <w:t>6</w:t>
      </w:r>
      <w:r w:rsidRPr="003A1967">
        <w:rPr>
          <w:b/>
          <w:bCs/>
        </w:rPr>
        <w:t>.</w:t>
      </w:r>
      <w:r>
        <w:t xml:space="preserve"> </w:t>
      </w:r>
      <w:r w:rsidRPr="0086735D">
        <w:rPr>
          <w:szCs w:val="24"/>
        </w:rPr>
        <w:t>Results of the single interrupted time series analys</w:t>
      </w:r>
      <w:r>
        <w:rPr>
          <w:szCs w:val="24"/>
        </w:rPr>
        <w:t>e</w:t>
      </w:r>
      <w:r w:rsidRPr="0086735D">
        <w:rPr>
          <w:szCs w:val="24"/>
        </w:rPr>
        <w:t xml:space="preserve">s </w:t>
      </w:r>
      <w:r w:rsidRPr="00181D91">
        <w:rPr>
          <w:szCs w:val="24"/>
        </w:rPr>
        <w:t xml:space="preserve">of </w:t>
      </w:r>
      <w:r>
        <w:rPr>
          <w:szCs w:val="24"/>
        </w:rPr>
        <w:t>female</w:t>
      </w:r>
      <w:r w:rsidRPr="00181D91">
        <w:rPr>
          <w:szCs w:val="24"/>
        </w:rPr>
        <w:t xml:space="preserve"> and </w:t>
      </w:r>
      <w:r>
        <w:rPr>
          <w:szCs w:val="24"/>
        </w:rPr>
        <w:t>male</w:t>
      </w:r>
      <w:r w:rsidRPr="00181D91">
        <w:rPr>
          <w:szCs w:val="24"/>
        </w:rPr>
        <w:t xml:space="preserve"> opioid</w:t>
      </w:r>
      <w:r w:rsidRPr="0086735D">
        <w:rPr>
          <w:szCs w:val="24"/>
        </w:rPr>
        <w:t xml:space="preserve"> </w:t>
      </w:r>
      <w:r>
        <w:rPr>
          <w:szCs w:val="24"/>
        </w:rPr>
        <w:t>p</w:t>
      </w:r>
      <w:r w:rsidRPr="0086735D">
        <w:rPr>
          <w:szCs w:val="24"/>
        </w:rPr>
        <w:t xml:space="preserve">rescribing </w:t>
      </w:r>
      <w:r>
        <w:rPr>
          <w:szCs w:val="24"/>
        </w:rPr>
        <w:t>rates</w:t>
      </w:r>
      <w:r w:rsidRPr="0086735D">
        <w:rPr>
          <w:szCs w:val="24"/>
        </w:rPr>
        <w:t xml:space="preserve"> </w:t>
      </w:r>
      <w:r>
        <w:rPr>
          <w:szCs w:val="24"/>
        </w:rPr>
        <w:t>in</w:t>
      </w:r>
      <w:r w:rsidRPr="0086735D">
        <w:rPr>
          <w:szCs w:val="24"/>
        </w:rPr>
        <w:t xml:space="preserve"> Scotland</w:t>
      </w:r>
      <w:bookmarkEnd w:id="11"/>
    </w:p>
    <w:tbl>
      <w:tblPr>
        <w:tblStyle w:val="PlainTable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148"/>
        <w:gridCol w:w="2776"/>
        <w:gridCol w:w="1677"/>
        <w:gridCol w:w="948"/>
        <w:gridCol w:w="2776"/>
        <w:gridCol w:w="1677"/>
        <w:gridCol w:w="946"/>
      </w:tblGrid>
      <w:tr w:rsidR="003C1F52" w:rsidRPr="0086735D" w14:paraId="7E57564D" w14:textId="77777777" w:rsidTr="00F108C9">
        <w:trPr>
          <w:cnfStyle w:val="000000100000" w:firstRow="0" w:lastRow="0" w:firstColumn="0" w:lastColumn="0" w:oddVBand="0" w:evenVBand="0" w:oddHBand="1" w:evenHBand="0" w:firstRowFirstColumn="0" w:firstRowLastColumn="0" w:lastRowFirstColumn="0" w:lastRowLastColumn="0"/>
        </w:trPr>
        <w:tc>
          <w:tcPr>
            <w:tcW w:w="1128" w:type="pct"/>
            <w:vMerge w:val="restart"/>
            <w:shd w:val="clear" w:color="auto" w:fill="D9E2F3" w:themeFill="accent1" w:themeFillTint="33"/>
            <w:vAlign w:val="center"/>
          </w:tcPr>
          <w:p w14:paraId="28B49B79" w14:textId="77777777" w:rsidR="003C1F52" w:rsidRPr="00845F73" w:rsidRDefault="003C1F52" w:rsidP="00F108C9">
            <w:pPr>
              <w:jc w:val="center"/>
              <w:rPr>
                <w:rFonts w:cstheme="minorHAnsi"/>
                <w:b/>
              </w:rPr>
            </w:pPr>
          </w:p>
        </w:tc>
        <w:tc>
          <w:tcPr>
            <w:tcW w:w="1936" w:type="pct"/>
            <w:gridSpan w:val="3"/>
            <w:shd w:val="clear" w:color="auto" w:fill="D9E2F3" w:themeFill="accent1" w:themeFillTint="33"/>
            <w:vAlign w:val="center"/>
          </w:tcPr>
          <w:p w14:paraId="33BD397D" w14:textId="77777777" w:rsidR="003C1F52" w:rsidRPr="00845F73" w:rsidRDefault="003C1F52" w:rsidP="00F108C9">
            <w:pPr>
              <w:jc w:val="center"/>
              <w:rPr>
                <w:rFonts w:cstheme="minorHAnsi"/>
                <w:b/>
              </w:rPr>
            </w:pPr>
            <w:r>
              <w:rPr>
                <w:rFonts w:cstheme="minorHAnsi"/>
                <w:b/>
                <w:bCs/>
              </w:rPr>
              <w:t>Female</w:t>
            </w:r>
          </w:p>
        </w:tc>
        <w:tc>
          <w:tcPr>
            <w:tcW w:w="1935" w:type="pct"/>
            <w:gridSpan w:val="3"/>
            <w:shd w:val="clear" w:color="auto" w:fill="D9E2F3" w:themeFill="accent1" w:themeFillTint="33"/>
            <w:vAlign w:val="center"/>
          </w:tcPr>
          <w:p w14:paraId="7D5343A7" w14:textId="77777777" w:rsidR="003C1F52" w:rsidRPr="00845F73" w:rsidRDefault="003C1F52" w:rsidP="00F108C9">
            <w:pPr>
              <w:jc w:val="center"/>
              <w:rPr>
                <w:rFonts w:cstheme="minorHAnsi"/>
                <w:b/>
              </w:rPr>
            </w:pPr>
            <w:r>
              <w:rPr>
                <w:rFonts w:cstheme="minorHAnsi"/>
                <w:b/>
              </w:rPr>
              <w:t>Male</w:t>
            </w:r>
          </w:p>
        </w:tc>
      </w:tr>
      <w:tr w:rsidR="003C1F52" w:rsidRPr="0086735D" w14:paraId="27A1D32D" w14:textId="77777777" w:rsidTr="00F108C9">
        <w:tc>
          <w:tcPr>
            <w:tcW w:w="1128" w:type="pct"/>
            <w:vMerge/>
            <w:shd w:val="clear" w:color="auto" w:fill="D9E2F3" w:themeFill="accent1" w:themeFillTint="33"/>
            <w:vAlign w:val="center"/>
          </w:tcPr>
          <w:p w14:paraId="7796B2E4" w14:textId="77777777" w:rsidR="003C1F52" w:rsidRPr="00845F73" w:rsidRDefault="003C1F52" w:rsidP="00F108C9">
            <w:pPr>
              <w:jc w:val="center"/>
              <w:rPr>
                <w:rFonts w:cstheme="minorHAnsi"/>
                <w:b/>
              </w:rPr>
            </w:pPr>
          </w:p>
        </w:tc>
        <w:tc>
          <w:tcPr>
            <w:tcW w:w="995" w:type="pct"/>
            <w:shd w:val="clear" w:color="auto" w:fill="D9E2F3" w:themeFill="accent1" w:themeFillTint="33"/>
            <w:vAlign w:val="center"/>
          </w:tcPr>
          <w:p w14:paraId="6B59DCD2" w14:textId="77777777" w:rsidR="003C1F52" w:rsidRPr="00845F73" w:rsidRDefault="003C1F52" w:rsidP="00F108C9">
            <w:pPr>
              <w:jc w:val="center"/>
              <w:rPr>
                <w:rFonts w:cstheme="minorHAnsi"/>
                <w:b/>
              </w:rPr>
            </w:pPr>
            <w:r w:rsidRPr="00845F73">
              <w:rPr>
                <w:rFonts w:cstheme="minorHAnsi"/>
                <w:b/>
              </w:rPr>
              <w:t>Estimate</w:t>
            </w:r>
          </w:p>
          <w:p w14:paraId="71795833" w14:textId="77777777" w:rsidR="003C1F52" w:rsidRPr="00845F73" w:rsidRDefault="003C1F52" w:rsidP="00F108C9">
            <w:pPr>
              <w:jc w:val="center"/>
              <w:rPr>
                <w:rFonts w:cstheme="minorHAnsi"/>
                <w:b/>
              </w:rPr>
            </w:pPr>
            <w:r w:rsidRPr="00845F73">
              <w:rPr>
                <w:rFonts w:cstheme="minorHAnsi"/>
                <w:b/>
              </w:rPr>
              <w:t>(95% Confidence Interval)</w:t>
            </w:r>
          </w:p>
        </w:tc>
        <w:tc>
          <w:tcPr>
            <w:tcW w:w="601" w:type="pct"/>
            <w:shd w:val="clear" w:color="auto" w:fill="D9E2F3" w:themeFill="accent1" w:themeFillTint="33"/>
            <w:vAlign w:val="center"/>
          </w:tcPr>
          <w:p w14:paraId="57399CBB" w14:textId="77777777" w:rsidR="003C1F52" w:rsidRPr="00845F73" w:rsidRDefault="003C1F52" w:rsidP="00F108C9">
            <w:pPr>
              <w:jc w:val="center"/>
              <w:rPr>
                <w:rFonts w:cstheme="minorHAnsi"/>
                <w:b/>
              </w:rPr>
            </w:pPr>
            <w:r w:rsidRPr="00845F73">
              <w:rPr>
                <w:rFonts w:cstheme="minorHAnsi"/>
                <w:b/>
              </w:rPr>
              <w:t>Standard Error</w:t>
            </w:r>
          </w:p>
        </w:tc>
        <w:tc>
          <w:tcPr>
            <w:tcW w:w="340" w:type="pct"/>
            <w:shd w:val="clear" w:color="auto" w:fill="D9E2F3" w:themeFill="accent1" w:themeFillTint="33"/>
            <w:vAlign w:val="center"/>
          </w:tcPr>
          <w:p w14:paraId="583E83AE" w14:textId="77777777" w:rsidR="003C1F52" w:rsidRPr="00845F73" w:rsidRDefault="003C1F52" w:rsidP="00F108C9">
            <w:pPr>
              <w:jc w:val="center"/>
              <w:rPr>
                <w:rFonts w:cstheme="minorHAnsi"/>
                <w:b/>
              </w:rPr>
            </w:pPr>
            <w:r w:rsidRPr="00845F73">
              <w:rPr>
                <w:rFonts w:cstheme="minorHAnsi"/>
                <w:b/>
              </w:rPr>
              <w:t>P value</w:t>
            </w:r>
          </w:p>
        </w:tc>
        <w:tc>
          <w:tcPr>
            <w:tcW w:w="995" w:type="pct"/>
            <w:shd w:val="clear" w:color="auto" w:fill="D9E2F3" w:themeFill="accent1" w:themeFillTint="33"/>
            <w:vAlign w:val="center"/>
          </w:tcPr>
          <w:p w14:paraId="714E8A91" w14:textId="77777777" w:rsidR="003C1F52" w:rsidRPr="00845F73" w:rsidRDefault="003C1F52" w:rsidP="00F108C9">
            <w:pPr>
              <w:jc w:val="center"/>
              <w:rPr>
                <w:rFonts w:cstheme="minorHAnsi"/>
                <w:b/>
              </w:rPr>
            </w:pPr>
            <w:r w:rsidRPr="00845F73">
              <w:rPr>
                <w:rFonts w:cstheme="minorHAnsi"/>
                <w:b/>
              </w:rPr>
              <w:t>Estimate</w:t>
            </w:r>
          </w:p>
          <w:p w14:paraId="6D26CD24" w14:textId="77777777" w:rsidR="003C1F52" w:rsidRPr="00845F73" w:rsidRDefault="003C1F52" w:rsidP="00F108C9">
            <w:pPr>
              <w:jc w:val="center"/>
              <w:rPr>
                <w:rFonts w:cstheme="minorHAnsi"/>
                <w:b/>
              </w:rPr>
            </w:pPr>
            <w:r w:rsidRPr="00845F73">
              <w:rPr>
                <w:rFonts w:cstheme="minorHAnsi"/>
                <w:b/>
              </w:rPr>
              <w:t>(95% Confidence Interval)</w:t>
            </w:r>
          </w:p>
        </w:tc>
        <w:tc>
          <w:tcPr>
            <w:tcW w:w="601" w:type="pct"/>
            <w:shd w:val="clear" w:color="auto" w:fill="D9E2F3" w:themeFill="accent1" w:themeFillTint="33"/>
            <w:vAlign w:val="center"/>
          </w:tcPr>
          <w:p w14:paraId="0498D0A6" w14:textId="77777777" w:rsidR="003C1F52" w:rsidRPr="00845F73" w:rsidRDefault="003C1F52" w:rsidP="00F108C9">
            <w:pPr>
              <w:jc w:val="center"/>
              <w:rPr>
                <w:rFonts w:cstheme="minorHAnsi"/>
                <w:b/>
              </w:rPr>
            </w:pPr>
            <w:r w:rsidRPr="00845F73">
              <w:rPr>
                <w:rFonts w:cstheme="minorHAnsi"/>
                <w:b/>
              </w:rPr>
              <w:t>Standard Error</w:t>
            </w:r>
          </w:p>
        </w:tc>
        <w:tc>
          <w:tcPr>
            <w:tcW w:w="339" w:type="pct"/>
            <w:shd w:val="clear" w:color="auto" w:fill="D9E2F3" w:themeFill="accent1" w:themeFillTint="33"/>
            <w:vAlign w:val="center"/>
          </w:tcPr>
          <w:p w14:paraId="75891970" w14:textId="77777777" w:rsidR="003C1F52" w:rsidRPr="00845F73" w:rsidRDefault="003C1F52" w:rsidP="00F108C9">
            <w:pPr>
              <w:jc w:val="center"/>
              <w:rPr>
                <w:rFonts w:cstheme="minorHAnsi"/>
                <w:b/>
              </w:rPr>
            </w:pPr>
            <w:r w:rsidRPr="00845F73">
              <w:rPr>
                <w:rFonts w:cstheme="minorHAnsi"/>
                <w:b/>
              </w:rPr>
              <w:t>P value</w:t>
            </w:r>
          </w:p>
        </w:tc>
      </w:tr>
      <w:tr w:rsidR="003C1F52" w:rsidRPr="0086735D" w14:paraId="00B5BD9F" w14:textId="77777777" w:rsidTr="00F108C9">
        <w:trPr>
          <w:cnfStyle w:val="000000100000" w:firstRow="0" w:lastRow="0" w:firstColumn="0" w:lastColumn="0" w:oddVBand="0" w:evenVBand="0" w:oddHBand="1" w:evenHBand="0" w:firstRowFirstColumn="0" w:firstRowLastColumn="0" w:lastRowFirstColumn="0" w:lastRowLastColumn="0"/>
        </w:trPr>
        <w:tc>
          <w:tcPr>
            <w:tcW w:w="1128" w:type="pct"/>
          </w:tcPr>
          <w:p w14:paraId="062F37FF" w14:textId="77777777" w:rsidR="003C1F52" w:rsidRPr="00845F73" w:rsidRDefault="003C1F52" w:rsidP="00F108C9">
            <w:pPr>
              <w:rPr>
                <w:rFonts w:cstheme="minorHAnsi"/>
              </w:rPr>
            </w:pPr>
            <w:r w:rsidRPr="00845F73">
              <w:rPr>
                <w:rFonts w:cstheme="minorHAnsi"/>
              </w:rPr>
              <w:t>Intercept, β</w:t>
            </w:r>
            <w:r w:rsidRPr="00845F73">
              <w:rPr>
                <w:rFonts w:cstheme="minorHAnsi"/>
                <w:vertAlign w:val="subscript"/>
              </w:rPr>
              <w:t>0</w:t>
            </w:r>
          </w:p>
        </w:tc>
        <w:tc>
          <w:tcPr>
            <w:tcW w:w="995" w:type="pct"/>
            <w:vAlign w:val="center"/>
          </w:tcPr>
          <w:p w14:paraId="5C83F286" w14:textId="77777777" w:rsidR="003C1F52" w:rsidRPr="00845F73" w:rsidRDefault="003C1F52" w:rsidP="00F108C9">
            <w:pPr>
              <w:jc w:val="center"/>
              <w:rPr>
                <w:rFonts w:cstheme="minorHAnsi"/>
              </w:rPr>
            </w:pPr>
            <w:r>
              <w:rPr>
                <w:rFonts w:cstheme="minorHAnsi"/>
              </w:rPr>
              <w:t>291.76 (284.16, 299.36)</w:t>
            </w:r>
          </w:p>
        </w:tc>
        <w:tc>
          <w:tcPr>
            <w:tcW w:w="601" w:type="pct"/>
            <w:vAlign w:val="center"/>
          </w:tcPr>
          <w:p w14:paraId="4CFBE40F" w14:textId="77777777" w:rsidR="003C1F52" w:rsidRPr="00845F73" w:rsidRDefault="003C1F52" w:rsidP="00F108C9">
            <w:pPr>
              <w:jc w:val="center"/>
              <w:rPr>
                <w:rFonts w:cstheme="minorHAnsi"/>
              </w:rPr>
            </w:pPr>
            <w:r>
              <w:rPr>
                <w:rFonts w:cstheme="minorHAnsi"/>
              </w:rPr>
              <w:t>3.75</w:t>
            </w:r>
          </w:p>
        </w:tc>
        <w:tc>
          <w:tcPr>
            <w:tcW w:w="340" w:type="pct"/>
            <w:vAlign w:val="center"/>
          </w:tcPr>
          <w:p w14:paraId="7668E412" w14:textId="77777777" w:rsidR="003C1F52" w:rsidRPr="00845F73" w:rsidRDefault="003C1F52" w:rsidP="00F108C9">
            <w:pPr>
              <w:jc w:val="center"/>
              <w:rPr>
                <w:rFonts w:cstheme="minorHAnsi"/>
              </w:rPr>
            </w:pPr>
            <w:r>
              <w:rPr>
                <w:rFonts w:cstheme="minorHAnsi"/>
              </w:rPr>
              <w:t>&lt;0.01</w:t>
            </w:r>
          </w:p>
        </w:tc>
        <w:tc>
          <w:tcPr>
            <w:tcW w:w="995" w:type="pct"/>
          </w:tcPr>
          <w:p w14:paraId="31027177" w14:textId="77777777" w:rsidR="003C1F52" w:rsidRPr="00845F73" w:rsidRDefault="003C1F52" w:rsidP="00F108C9">
            <w:pPr>
              <w:jc w:val="center"/>
              <w:rPr>
                <w:rFonts w:cstheme="minorHAnsi"/>
              </w:rPr>
            </w:pPr>
            <w:r>
              <w:rPr>
                <w:rFonts w:cstheme="minorHAnsi"/>
              </w:rPr>
              <w:t>195.03 (189.77, 200.28)</w:t>
            </w:r>
          </w:p>
        </w:tc>
        <w:tc>
          <w:tcPr>
            <w:tcW w:w="601" w:type="pct"/>
          </w:tcPr>
          <w:p w14:paraId="45C79D80" w14:textId="77777777" w:rsidR="003C1F52" w:rsidRPr="00845F73" w:rsidRDefault="003C1F52" w:rsidP="00F108C9">
            <w:pPr>
              <w:jc w:val="center"/>
              <w:rPr>
                <w:rFonts w:cstheme="minorHAnsi"/>
              </w:rPr>
            </w:pPr>
            <w:r>
              <w:rPr>
                <w:rFonts w:cstheme="minorHAnsi"/>
              </w:rPr>
              <w:t>2.59</w:t>
            </w:r>
          </w:p>
        </w:tc>
        <w:tc>
          <w:tcPr>
            <w:tcW w:w="339" w:type="pct"/>
          </w:tcPr>
          <w:p w14:paraId="15F204FB" w14:textId="77777777" w:rsidR="003C1F52" w:rsidRPr="00845F73" w:rsidRDefault="003C1F52" w:rsidP="00F108C9">
            <w:pPr>
              <w:jc w:val="center"/>
              <w:rPr>
                <w:rFonts w:cstheme="minorHAnsi"/>
              </w:rPr>
            </w:pPr>
            <w:r>
              <w:rPr>
                <w:rFonts w:cstheme="minorHAnsi"/>
              </w:rPr>
              <w:t>&lt;0.01</w:t>
            </w:r>
          </w:p>
        </w:tc>
      </w:tr>
      <w:tr w:rsidR="003C1F52" w:rsidRPr="0086735D" w14:paraId="670CA666" w14:textId="77777777" w:rsidTr="00F108C9">
        <w:tc>
          <w:tcPr>
            <w:tcW w:w="1128" w:type="pct"/>
          </w:tcPr>
          <w:p w14:paraId="57382539" w14:textId="77777777" w:rsidR="003C1F52" w:rsidRPr="00845F73" w:rsidRDefault="003C1F52" w:rsidP="00F108C9">
            <w:pPr>
              <w:rPr>
                <w:rFonts w:cstheme="minorHAnsi"/>
              </w:rPr>
            </w:pPr>
            <w:r w:rsidRPr="00845F73">
              <w:rPr>
                <w:rFonts w:cstheme="minorHAnsi"/>
              </w:rPr>
              <w:t>Pre-Intervention Trend, β</w:t>
            </w:r>
            <w:r w:rsidRPr="00845F73">
              <w:rPr>
                <w:rFonts w:cstheme="minorHAnsi"/>
                <w:vertAlign w:val="subscript"/>
              </w:rPr>
              <w:t>1</w:t>
            </w:r>
          </w:p>
        </w:tc>
        <w:tc>
          <w:tcPr>
            <w:tcW w:w="995" w:type="pct"/>
            <w:vAlign w:val="center"/>
          </w:tcPr>
          <w:p w14:paraId="1FF8D8D9" w14:textId="77777777" w:rsidR="003C1F52" w:rsidRPr="00845F73" w:rsidRDefault="003C1F52" w:rsidP="00F108C9">
            <w:pPr>
              <w:jc w:val="center"/>
              <w:rPr>
                <w:rFonts w:cstheme="minorHAnsi"/>
              </w:rPr>
            </w:pPr>
            <w:r>
              <w:rPr>
                <w:rFonts w:cstheme="minorHAnsi"/>
              </w:rPr>
              <w:t>2.73 (1.94, 3.51)</w:t>
            </w:r>
          </w:p>
        </w:tc>
        <w:tc>
          <w:tcPr>
            <w:tcW w:w="601" w:type="pct"/>
            <w:vAlign w:val="center"/>
          </w:tcPr>
          <w:p w14:paraId="28A3B34F" w14:textId="77777777" w:rsidR="003C1F52" w:rsidRPr="00845F73" w:rsidRDefault="003C1F52" w:rsidP="00F108C9">
            <w:pPr>
              <w:jc w:val="center"/>
              <w:rPr>
                <w:rFonts w:cstheme="minorHAnsi"/>
              </w:rPr>
            </w:pPr>
            <w:r>
              <w:rPr>
                <w:rFonts w:cstheme="minorHAnsi"/>
              </w:rPr>
              <w:t>0.39</w:t>
            </w:r>
          </w:p>
        </w:tc>
        <w:tc>
          <w:tcPr>
            <w:tcW w:w="340" w:type="pct"/>
            <w:vAlign w:val="center"/>
          </w:tcPr>
          <w:p w14:paraId="2B229333" w14:textId="77777777" w:rsidR="003C1F52" w:rsidRPr="00845F73" w:rsidRDefault="003C1F52" w:rsidP="00F108C9">
            <w:pPr>
              <w:jc w:val="center"/>
              <w:rPr>
                <w:rFonts w:cstheme="minorHAnsi"/>
              </w:rPr>
            </w:pPr>
            <w:r>
              <w:rPr>
                <w:rFonts w:cstheme="minorHAnsi"/>
              </w:rPr>
              <w:t>&lt;0.01</w:t>
            </w:r>
          </w:p>
        </w:tc>
        <w:tc>
          <w:tcPr>
            <w:tcW w:w="995" w:type="pct"/>
          </w:tcPr>
          <w:p w14:paraId="6875D987" w14:textId="77777777" w:rsidR="003C1F52" w:rsidRPr="00845F73" w:rsidRDefault="003C1F52" w:rsidP="00F108C9">
            <w:pPr>
              <w:jc w:val="center"/>
              <w:rPr>
                <w:rFonts w:cstheme="minorHAnsi"/>
              </w:rPr>
            </w:pPr>
            <w:r>
              <w:rPr>
                <w:rFonts w:cstheme="minorHAnsi"/>
              </w:rPr>
              <w:t>2.09 (1.54, 2.63)</w:t>
            </w:r>
          </w:p>
        </w:tc>
        <w:tc>
          <w:tcPr>
            <w:tcW w:w="601" w:type="pct"/>
          </w:tcPr>
          <w:p w14:paraId="0C26ED42" w14:textId="77777777" w:rsidR="003C1F52" w:rsidRPr="00845F73" w:rsidRDefault="003C1F52" w:rsidP="00F108C9">
            <w:pPr>
              <w:jc w:val="center"/>
              <w:rPr>
                <w:rFonts w:cstheme="minorHAnsi"/>
              </w:rPr>
            </w:pPr>
            <w:r>
              <w:rPr>
                <w:rFonts w:cstheme="minorHAnsi"/>
              </w:rPr>
              <w:t>0.27</w:t>
            </w:r>
          </w:p>
        </w:tc>
        <w:tc>
          <w:tcPr>
            <w:tcW w:w="339" w:type="pct"/>
          </w:tcPr>
          <w:p w14:paraId="4C68AEF4" w14:textId="77777777" w:rsidR="003C1F52" w:rsidRPr="00845F73" w:rsidRDefault="003C1F52" w:rsidP="00F108C9">
            <w:pPr>
              <w:jc w:val="center"/>
              <w:rPr>
                <w:rFonts w:cstheme="minorHAnsi"/>
              </w:rPr>
            </w:pPr>
            <w:r>
              <w:rPr>
                <w:rFonts w:cstheme="minorHAnsi"/>
              </w:rPr>
              <w:t>&lt;0.01</w:t>
            </w:r>
          </w:p>
        </w:tc>
      </w:tr>
      <w:tr w:rsidR="003C1F52" w:rsidRPr="0086735D" w14:paraId="18D163D0" w14:textId="77777777" w:rsidTr="00F108C9">
        <w:trPr>
          <w:cnfStyle w:val="000000100000" w:firstRow="0" w:lastRow="0" w:firstColumn="0" w:lastColumn="0" w:oddVBand="0" w:evenVBand="0" w:oddHBand="1" w:evenHBand="0" w:firstRowFirstColumn="0" w:firstRowLastColumn="0" w:lastRowFirstColumn="0" w:lastRowLastColumn="0"/>
        </w:trPr>
        <w:tc>
          <w:tcPr>
            <w:tcW w:w="1128" w:type="pct"/>
            <w:vAlign w:val="center"/>
          </w:tcPr>
          <w:p w14:paraId="6B587623" w14:textId="77777777" w:rsidR="003C1F52" w:rsidRPr="00845F73" w:rsidRDefault="003C1F52" w:rsidP="00F108C9">
            <w:pPr>
              <w:rPr>
                <w:rFonts w:cstheme="minorHAnsi"/>
              </w:rPr>
            </w:pPr>
            <w:r w:rsidRPr="00845F73">
              <w:rPr>
                <w:rFonts w:cstheme="minorHAnsi"/>
              </w:rPr>
              <w:t>Change in Level, β</w:t>
            </w:r>
            <w:r w:rsidRPr="00845F73">
              <w:rPr>
                <w:rFonts w:cstheme="minorHAnsi"/>
                <w:vertAlign w:val="subscript"/>
              </w:rPr>
              <w:t>2</w:t>
            </w:r>
          </w:p>
        </w:tc>
        <w:tc>
          <w:tcPr>
            <w:tcW w:w="995" w:type="pct"/>
            <w:vAlign w:val="center"/>
          </w:tcPr>
          <w:p w14:paraId="3BB909D0" w14:textId="77777777" w:rsidR="003C1F52" w:rsidRPr="00845F73" w:rsidRDefault="003C1F52" w:rsidP="00F108C9">
            <w:pPr>
              <w:jc w:val="center"/>
              <w:rPr>
                <w:rFonts w:cstheme="minorHAnsi"/>
              </w:rPr>
            </w:pPr>
            <w:r>
              <w:rPr>
                <w:rFonts w:cstheme="minorHAnsi"/>
              </w:rPr>
              <w:t>7.15 (-1.90, 16.21)</w:t>
            </w:r>
          </w:p>
        </w:tc>
        <w:tc>
          <w:tcPr>
            <w:tcW w:w="601" w:type="pct"/>
            <w:vAlign w:val="center"/>
          </w:tcPr>
          <w:p w14:paraId="44BA3605" w14:textId="77777777" w:rsidR="003C1F52" w:rsidRPr="00845F73" w:rsidRDefault="003C1F52" w:rsidP="00F108C9">
            <w:pPr>
              <w:jc w:val="center"/>
              <w:rPr>
                <w:rFonts w:cstheme="minorHAnsi"/>
              </w:rPr>
            </w:pPr>
            <w:r>
              <w:rPr>
                <w:rFonts w:cstheme="minorHAnsi"/>
              </w:rPr>
              <w:t>4.47</w:t>
            </w:r>
          </w:p>
        </w:tc>
        <w:tc>
          <w:tcPr>
            <w:tcW w:w="340" w:type="pct"/>
            <w:vAlign w:val="center"/>
          </w:tcPr>
          <w:p w14:paraId="36B74644" w14:textId="77777777" w:rsidR="003C1F52" w:rsidRPr="00845F73" w:rsidRDefault="003C1F52" w:rsidP="00F108C9">
            <w:pPr>
              <w:jc w:val="center"/>
              <w:rPr>
                <w:rFonts w:cstheme="minorHAnsi"/>
              </w:rPr>
            </w:pPr>
            <w:r>
              <w:rPr>
                <w:rFonts w:cstheme="minorHAnsi"/>
              </w:rPr>
              <w:t>0.12</w:t>
            </w:r>
          </w:p>
        </w:tc>
        <w:tc>
          <w:tcPr>
            <w:tcW w:w="995" w:type="pct"/>
          </w:tcPr>
          <w:p w14:paraId="300F807C" w14:textId="77777777" w:rsidR="003C1F52" w:rsidRPr="00845F73" w:rsidRDefault="003C1F52" w:rsidP="00F108C9">
            <w:pPr>
              <w:jc w:val="center"/>
              <w:rPr>
                <w:rFonts w:cstheme="minorHAnsi"/>
              </w:rPr>
            </w:pPr>
            <w:r>
              <w:rPr>
                <w:rFonts w:cstheme="minorHAnsi"/>
              </w:rPr>
              <w:t xml:space="preserve">4.73 (-1.54, 10.99) </w:t>
            </w:r>
          </w:p>
        </w:tc>
        <w:tc>
          <w:tcPr>
            <w:tcW w:w="601" w:type="pct"/>
          </w:tcPr>
          <w:p w14:paraId="5DC0F075" w14:textId="77777777" w:rsidR="003C1F52" w:rsidRPr="00845F73" w:rsidRDefault="003C1F52" w:rsidP="00F108C9">
            <w:pPr>
              <w:jc w:val="center"/>
              <w:rPr>
                <w:rFonts w:cstheme="minorHAnsi"/>
              </w:rPr>
            </w:pPr>
            <w:r>
              <w:rPr>
                <w:rFonts w:cstheme="minorHAnsi"/>
              </w:rPr>
              <w:t>3.09</w:t>
            </w:r>
          </w:p>
        </w:tc>
        <w:tc>
          <w:tcPr>
            <w:tcW w:w="339" w:type="pct"/>
          </w:tcPr>
          <w:p w14:paraId="4DD5A96C" w14:textId="77777777" w:rsidR="003C1F52" w:rsidRPr="00845F73" w:rsidRDefault="003C1F52" w:rsidP="00F108C9">
            <w:pPr>
              <w:jc w:val="center"/>
              <w:rPr>
                <w:rFonts w:cstheme="minorHAnsi"/>
              </w:rPr>
            </w:pPr>
            <w:r>
              <w:rPr>
                <w:rFonts w:cstheme="minorHAnsi"/>
              </w:rPr>
              <w:t>0.14</w:t>
            </w:r>
          </w:p>
        </w:tc>
      </w:tr>
      <w:tr w:rsidR="003C1F52" w:rsidRPr="0086735D" w14:paraId="4D25E371" w14:textId="77777777" w:rsidTr="00F108C9">
        <w:tc>
          <w:tcPr>
            <w:tcW w:w="1128" w:type="pct"/>
          </w:tcPr>
          <w:p w14:paraId="33EED24B" w14:textId="77777777" w:rsidR="003C1F52" w:rsidRPr="002B4EEE" w:rsidRDefault="003C1F52" w:rsidP="00F108C9">
            <w:pPr>
              <w:rPr>
                <w:rFonts w:cstheme="minorHAnsi"/>
                <w:b/>
                <w:bCs/>
              </w:rPr>
            </w:pPr>
            <w:r w:rsidRPr="002B4EEE">
              <w:rPr>
                <w:rFonts w:cstheme="minorHAnsi"/>
                <w:b/>
                <w:bCs/>
              </w:rPr>
              <w:t>Change in Trend, β</w:t>
            </w:r>
            <w:r w:rsidRPr="002B4EEE">
              <w:rPr>
                <w:rFonts w:cstheme="minorHAnsi"/>
                <w:b/>
                <w:bCs/>
                <w:vertAlign w:val="subscript"/>
              </w:rPr>
              <w:t>3</w:t>
            </w:r>
          </w:p>
        </w:tc>
        <w:tc>
          <w:tcPr>
            <w:tcW w:w="995" w:type="pct"/>
            <w:vAlign w:val="center"/>
          </w:tcPr>
          <w:p w14:paraId="6C0655C5" w14:textId="77777777" w:rsidR="003C1F52" w:rsidRPr="002B4EEE" w:rsidRDefault="003C1F52" w:rsidP="00F108C9">
            <w:pPr>
              <w:jc w:val="center"/>
              <w:rPr>
                <w:rFonts w:cstheme="minorHAnsi"/>
                <w:b/>
                <w:bCs/>
              </w:rPr>
            </w:pPr>
            <w:r w:rsidRPr="002B4EEE">
              <w:rPr>
                <w:rFonts w:cstheme="minorHAnsi"/>
                <w:b/>
                <w:bCs/>
              </w:rPr>
              <w:t>-3.26 (-4.13, -2.39)</w:t>
            </w:r>
          </w:p>
        </w:tc>
        <w:tc>
          <w:tcPr>
            <w:tcW w:w="601" w:type="pct"/>
            <w:vAlign w:val="center"/>
          </w:tcPr>
          <w:p w14:paraId="4A154E31" w14:textId="77777777" w:rsidR="003C1F52" w:rsidRPr="002B4EEE" w:rsidRDefault="003C1F52" w:rsidP="00F108C9">
            <w:pPr>
              <w:jc w:val="center"/>
              <w:rPr>
                <w:rFonts w:cstheme="minorHAnsi"/>
                <w:b/>
                <w:bCs/>
              </w:rPr>
            </w:pPr>
            <w:r w:rsidRPr="002B4EEE">
              <w:rPr>
                <w:rFonts w:cstheme="minorHAnsi"/>
                <w:b/>
                <w:bCs/>
              </w:rPr>
              <w:t>0.43</w:t>
            </w:r>
          </w:p>
        </w:tc>
        <w:tc>
          <w:tcPr>
            <w:tcW w:w="340" w:type="pct"/>
            <w:vAlign w:val="center"/>
          </w:tcPr>
          <w:p w14:paraId="2E658FBC" w14:textId="77777777" w:rsidR="003C1F52" w:rsidRPr="002B4EEE" w:rsidRDefault="003C1F52" w:rsidP="00F108C9">
            <w:pPr>
              <w:jc w:val="center"/>
              <w:rPr>
                <w:rFonts w:cstheme="minorHAnsi"/>
                <w:b/>
                <w:bCs/>
              </w:rPr>
            </w:pPr>
            <w:r w:rsidRPr="002B4EEE">
              <w:rPr>
                <w:rFonts w:cstheme="minorHAnsi"/>
                <w:b/>
                <w:bCs/>
              </w:rPr>
              <w:t>&lt;0.01</w:t>
            </w:r>
          </w:p>
        </w:tc>
        <w:tc>
          <w:tcPr>
            <w:tcW w:w="995" w:type="pct"/>
          </w:tcPr>
          <w:p w14:paraId="0947E249" w14:textId="77777777" w:rsidR="003C1F52" w:rsidRPr="002B4EEE" w:rsidRDefault="003C1F52" w:rsidP="00F108C9">
            <w:pPr>
              <w:jc w:val="center"/>
              <w:rPr>
                <w:rFonts w:cstheme="minorHAnsi"/>
                <w:b/>
                <w:bCs/>
              </w:rPr>
            </w:pPr>
            <w:r w:rsidRPr="002B4EEE">
              <w:rPr>
                <w:rFonts w:cstheme="minorHAnsi"/>
                <w:b/>
                <w:bCs/>
              </w:rPr>
              <w:t>-2.52 (-3.13, -1.92)</w:t>
            </w:r>
          </w:p>
        </w:tc>
        <w:tc>
          <w:tcPr>
            <w:tcW w:w="601" w:type="pct"/>
          </w:tcPr>
          <w:p w14:paraId="25C0CCD5" w14:textId="77777777" w:rsidR="003C1F52" w:rsidRPr="002B4EEE" w:rsidRDefault="003C1F52" w:rsidP="00F108C9">
            <w:pPr>
              <w:jc w:val="center"/>
              <w:rPr>
                <w:rFonts w:cstheme="minorHAnsi"/>
                <w:b/>
                <w:bCs/>
              </w:rPr>
            </w:pPr>
            <w:r w:rsidRPr="002B4EEE">
              <w:rPr>
                <w:rFonts w:cstheme="minorHAnsi"/>
                <w:b/>
                <w:bCs/>
              </w:rPr>
              <w:t>0.30</w:t>
            </w:r>
          </w:p>
        </w:tc>
        <w:tc>
          <w:tcPr>
            <w:tcW w:w="339" w:type="pct"/>
          </w:tcPr>
          <w:p w14:paraId="707ED7B3" w14:textId="77777777" w:rsidR="003C1F52" w:rsidRPr="002B4EEE" w:rsidRDefault="003C1F52" w:rsidP="00F108C9">
            <w:pPr>
              <w:jc w:val="center"/>
              <w:rPr>
                <w:rFonts w:cstheme="minorHAnsi"/>
                <w:b/>
                <w:bCs/>
              </w:rPr>
            </w:pPr>
            <w:r w:rsidRPr="002B4EEE">
              <w:rPr>
                <w:rFonts w:cstheme="minorHAnsi"/>
                <w:b/>
                <w:bCs/>
              </w:rPr>
              <w:t>&lt;0.01</w:t>
            </w:r>
          </w:p>
        </w:tc>
      </w:tr>
      <w:tr w:rsidR="003C1F52" w:rsidRPr="0086735D" w14:paraId="0238C992" w14:textId="77777777" w:rsidTr="00F108C9">
        <w:trPr>
          <w:cnfStyle w:val="000000100000" w:firstRow="0" w:lastRow="0" w:firstColumn="0" w:lastColumn="0" w:oddVBand="0" w:evenVBand="0" w:oddHBand="1" w:evenHBand="0" w:firstRowFirstColumn="0" w:firstRowLastColumn="0" w:lastRowFirstColumn="0" w:lastRowLastColumn="0"/>
        </w:trPr>
        <w:tc>
          <w:tcPr>
            <w:tcW w:w="1128" w:type="pct"/>
          </w:tcPr>
          <w:p w14:paraId="419331CE" w14:textId="77777777" w:rsidR="003C1F52" w:rsidRPr="002B4EEE" w:rsidRDefault="003C1F52" w:rsidP="00F108C9">
            <w:pPr>
              <w:rPr>
                <w:rFonts w:cstheme="minorHAnsi"/>
                <w:b/>
                <w:bCs/>
              </w:rPr>
            </w:pPr>
            <w:r w:rsidRPr="002B4EEE">
              <w:rPr>
                <w:rFonts w:cstheme="minorHAnsi"/>
                <w:b/>
                <w:bCs/>
              </w:rPr>
              <w:t>Post-Intervention Trend, β</w:t>
            </w:r>
            <w:r w:rsidRPr="002B4EEE">
              <w:rPr>
                <w:rFonts w:cstheme="minorHAnsi"/>
                <w:b/>
                <w:bCs/>
                <w:vertAlign w:val="subscript"/>
              </w:rPr>
              <w:t>1+3</w:t>
            </w:r>
          </w:p>
        </w:tc>
        <w:tc>
          <w:tcPr>
            <w:tcW w:w="995" w:type="pct"/>
          </w:tcPr>
          <w:p w14:paraId="46EA77D0" w14:textId="77777777" w:rsidR="003C1F52" w:rsidRPr="002B4EEE" w:rsidRDefault="003C1F52" w:rsidP="00F108C9">
            <w:pPr>
              <w:jc w:val="center"/>
              <w:rPr>
                <w:rFonts w:cstheme="minorHAnsi"/>
                <w:b/>
                <w:bCs/>
              </w:rPr>
            </w:pPr>
            <w:r w:rsidRPr="002B4EEE">
              <w:rPr>
                <w:rFonts w:cstheme="minorHAnsi"/>
                <w:b/>
                <w:bCs/>
              </w:rPr>
              <w:t>-0.54 (-0.94, -0.13</w:t>
            </w:r>
          </w:p>
        </w:tc>
        <w:tc>
          <w:tcPr>
            <w:tcW w:w="601" w:type="pct"/>
          </w:tcPr>
          <w:p w14:paraId="2C034772" w14:textId="77777777" w:rsidR="003C1F52" w:rsidRPr="002B4EEE" w:rsidRDefault="003C1F52" w:rsidP="00F108C9">
            <w:pPr>
              <w:jc w:val="center"/>
              <w:rPr>
                <w:rFonts w:cstheme="minorHAnsi"/>
                <w:b/>
                <w:bCs/>
              </w:rPr>
            </w:pPr>
            <w:r w:rsidRPr="002B4EEE">
              <w:rPr>
                <w:rFonts w:cstheme="minorHAnsi"/>
                <w:b/>
                <w:bCs/>
              </w:rPr>
              <w:t>0.20</w:t>
            </w:r>
          </w:p>
        </w:tc>
        <w:tc>
          <w:tcPr>
            <w:tcW w:w="340" w:type="pct"/>
          </w:tcPr>
          <w:p w14:paraId="14D8B4F0" w14:textId="77777777" w:rsidR="003C1F52" w:rsidRPr="002B4EEE" w:rsidRDefault="003C1F52" w:rsidP="00F108C9">
            <w:pPr>
              <w:jc w:val="center"/>
              <w:rPr>
                <w:rFonts w:cstheme="minorHAnsi"/>
                <w:b/>
                <w:bCs/>
              </w:rPr>
            </w:pPr>
            <w:r w:rsidRPr="002B4EEE">
              <w:rPr>
                <w:rFonts w:cstheme="minorHAnsi"/>
                <w:b/>
                <w:bCs/>
              </w:rPr>
              <w:t>0.01</w:t>
            </w:r>
          </w:p>
        </w:tc>
        <w:tc>
          <w:tcPr>
            <w:tcW w:w="995" w:type="pct"/>
          </w:tcPr>
          <w:p w14:paraId="58A20A77" w14:textId="77777777" w:rsidR="003C1F52" w:rsidRPr="002B4EEE" w:rsidRDefault="003C1F52" w:rsidP="00F108C9">
            <w:pPr>
              <w:jc w:val="center"/>
              <w:rPr>
                <w:rFonts w:cstheme="minorHAnsi"/>
                <w:b/>
                <w:bCs/>
              </w:rPr>
            </w:pPr>
            <w:r w:rsidRPr="002B4EEE">
              <w:rPr>
                <w:rFonts w:cstheme="minorHAnsi"/>
                <w:b/>
                <w:bCs/>
              </w:rPr>
              <w:t>-0.44 (-0.71, -0.16)</w:t>
            </w:r>
          </w:p>
        </w:tc>
        <w:tc>
          <w:tcPr>
            <w:tcW w:w="601" w:type="pct"/>
          </w:tcPr>
          <w:p w14:paraId="5B7868AC" w14:textId="77777777" w:rsidR="003C1F52" w:rsidRPr="002B4EEE" w:rsidRDefault="003C1F52" w:rsidP="00F108C9">
            <w:pPr>
              <w:jc w:val="center"/>
              <w:rPr>
                <w:rFonts w:cstheme="minorHAnsi"/>
                <w:b/>
                <w:bCs/>
              </w:rPr>
            </w:pPr>
            <w:r w:rsidRPr="002B4EEE">
              <w:rPr>
                <w:rFonts w:cstheme="minorHAnsi"/>
                <w:b/>
                <w:bCs/>
              </w:rPr>
              <w:t>0.13</w:t>
            </w:r>
          </w:p>
        </w:tc>
        <w:tc>
          <w:tcPr>
            <w:tcW w:w="339" w:type="pct"/>
          </w:tcPr>
          <w:p w14:paraId="35546879" w14:textId="77777777" w:rsidR="003C1F52" w:rsidRPr="002B4EEE" w:rsidRDefault="003C1F52" w:rsidP="00F108C9">
            <w:pPr>
              <w:jc w:val="center"/>
              <w:rPr>
                <w:rFonts w:cstheme="minorHAnsi"/>
                <w:b/>
                <w:bCs/>
              </w:rPr>
            </w:pPr>
            <w:r w:rsidRPr="002B4EEE">
              <w:rPr>
                <w:rFonts w:cstheme="minorHAnsi"/>
                <w:b/>
                <w:bCs/>
              </w:rPr>
              <w:t>&lt;0.01</w:t>
            </w:r>
          </w:p>
        </w:tc>
      </w:tr>
      <w:tr w:rsidR="003C1F52" w:rsidRPr="0086735D" w14:paraId="25716DE6" w14:textId="77777777" w:rsidTr="00F108C9">
        <w:tc>
          <w:tcPr>
            <w:tcW w:w="1128" w:type="pct"/>
          </w:tcPr>
          <w:p w14:paraId="579990D2" w14:textId="7C0E9153" w:rsidR="003C1F52" w:rsidRPr="002B4EEE" w:rsidRDefault="003C1F52" w:rsidP="00F108C9">
            <w:pPr>
              <w:rPr>
                <w:rFonts w:cstheme="minorHAnsi"/>
                <w:b/>
                <w:bCs/>
              </w:rPr>
            </w:pPr>
            <w:r w:rsidRPr="002B4EEE">
              <w:rPr>
                <w:rFonts w:cstheme="minorHAnsi"/>
                <w:b/>
                <w:bCs/>
              </w:rPr>
              <w:t xml:space="preserve">Relative </w:t>
            </w:r>
            <w:r w:rsidR="00943A8B" w:rsidRPr="002B4EEE">
              <w:rPr>
                <w:rFonts w:cstheme="minorHAnsi"/>
                <w:b/>
                <w:bCs/>
              </w:rPr>
              <w:t>Change</w:t>
            </w:r>
            <w:r w:rsidRPr="002B4EEE">
              <w:rPr>
                <w:rFonts w:cstheme="minorHAnsi"/>
                <w:b/>
                <w:bCs/>
              </w:rPr>
              <w:t>, %</w:t>
            </w:r>
            <w:r w:rsidRPr="002B4EEE">
              <w:rPr>
                <w:rFonts w:cstheme="minorHAnsi"/>
                <w:b/>
                <w:bCs/>
                <w:vertAlign w:val="superscript"/>
              </w:rPr>
              <w:t>a</w:t>
            </w:r>
          </w:p>
        </w:tc>
        <w:tc>
          <w:tcPr>
            <w:tcW w:w="995" w:type="pct"/>
            <w:vAlign w:val="center"/>
          </w:tcPr>
          <w:p w14:paraId="3955BDA1" w14:textId="5E7EFED4" w:rsidR="003C1F52" w:rsidRPr="002B4EEE" w:rsidRDefault="003C1F52" w:rsidP="00F108C9">
            <w:pPr>
              <w:jc w:val="center"/>
              <w:rPr>
                <w:rFonts w:cstheme="minorHAnsi"/>
                <w:b/>
                <w:bCs/>
              </w:rPr>
            </w:pPr>
            <w:r w:rsidRPr="002B4EEE">
              <w:rPr>
                <w:rFonts w:cstheme="minorHAnsi"/>
                <w:b/>
                <w:bCs/>
              </w:rPr>
              <w:t>-19.11 (-23.</w:t>
            </w:r>
            <w:r w:rsidR="006C0B70">
              <w:rPr>
                <w:rFonts w:cstheme="minorHAnsi"/>
                <w:b/>
                <w:bCs/>
              </w:rPr>
              <w:t>54</w:t>
            </w:r>
            <w:r w:rsidRPr="002B4EEE">
              <w:rPr>
                <w:rFonts w:cstheme="minorHAnsi"/>
                <w:b/>
                <w:bCs/>
              </w:rPr>
              <w:t>, -13.1</w:t>
            </w:r>
            <w:r w:rsidR="00692489">
              <w:rPr>
                <w:rFonts w:cstheme="minorHAnsi"/>
                <w:b/>
                <w:bCs/>
              </w:rPr>
              <w:t>7</w:t>
            </w:r>
            <w:r w:rsidRPr="002B4EEE">
              <w:rPr>
                <w:rFonts w:cstheme="minorHAnsi"/>
                <w:b/>
                <w:bCs/>
              </w:rPr>
              <w:t>)</w:t>
            </w:r>
          </w:p>
        </w:tc>
        <w:tc>
          <w:tcPr>
            <w:tcW w:w="601" w:type="pct"/>
            <w:vAlign w:val="center"/>
          </w:tcPr>
          <w:p w14:paraId="2958A534" w14:textId="77777777" w:rsidR="003C1F52" w:rsidRPr="002B4EEE" w:rsidRDefault="003C1F52" w:rsidP="00F108C9">
            <w:pPr>
              <w:jc w:val="center"/>
              <w:rPr>
                <w:rFonts w:cstheme="minorHAnsi"/>
                <w:b/>
                <w:bCs/>
              </w:rPr>
            </w:pPr>
            <w:r w:rsidRPr="002B4EEE">
              <w:rPr>
                <w:rFonts w:cstheme="minorHAnsi"/>
                <w:b/>
                <w:bCs/>
              </w:rPr>
              <w:t>n/a</w:t>
            </w:r>
          </w:p>
        </w:tc>
        <w:tc>
          <w:tcPr>
            <w:tcW w:w="340" w:type="pct"/>
            <w:vAlign w:val="center"/>
          </w:tcPr>
          <w:p w14:paraId="48C67BF4" w14:textId="77777777" w:rsidR="003C1F52" w:rsidRPr="002B4EEE" w:rsidRDefault="003C1F52" w:rsidP="00F108C9">
            <w:pPr>
              <w:jc w:val="center"/>
              <w:rPr>
                <w:rFonts w:cstheme="minorHAnsi"/>
                <w:b/>
                <w:bCs/>
              </w:rPr>
            </w:pPr>
            <w:r w:rsidRPr="002B4EEE">
              <w:rPr>
                <w:rFonts w:cstheme="minorHAnsi"/>
                <w:b/>
                <w:bCs/>
              </w:rPr>
              <w:t>n/a</w:t>
            </w:r>
          </w:p>
        </w:tc>
        <w:tc>
          <w:tcPr>
            <w:tcW w:w="995" w:type="pct"/>
          </w:tcPr>
          <w:p w14:paraId="018E2519" w14:textId="57456FC8" w:rsidR="003C1F52" w:rsidRPr="002B4EEE" w:rsidRDefault="003C1F52" w:rsidP="00F108C9">
            <w:pPr>
              <w:jc w:val="center"/>
              <w:rPr>
                <w:rFonts w:cstheme="minorHAnsi"/>
                <w:b/>
                <w:bCs/>
              </w:rPr>
            </w:pPr>
            <w:r w:rsidRPr="002B4EEE">
              <w:rPr>
                <w:rFonts w:cstheme="minorHAnsi"/>
                <w:b/>
                <w:bCs/>
              </w:rPr>
              <w:t>-21.54 (-25.8</w:t>
            </w:r>
            <w:r w:rsidR="00F03722">
              <w:rPr>
                <w:rFonts w:cstheme="minorHAnsi"/>
                <w:b/>
                <w:bCs/>
              </w:rPr>
              <w:t>6</w:t>
            </w:r>
            <w:r w:rsidRPr="002B4EEE">
              <w:rPr>
                <w:rFonts w:cstheme="minorHAnsi"/>
                <w:b/>
                <w:bCs/>
              </w:rPr>
              <w:t>, -15.</w:t>
            </w:r>
            <w:r w:rsidR="00863006">
              <w:rPr>
                <w:rFonts w:cstheme="minorHAnsi"/>
                <w:b/>
                <w:bCs/>
              </w:rPr>
              <w:t>51</w:t>
            </w:r>
            <w:r w:rsidRPr="002B4EEE">
              <w:rPr>
                <w:rFonts w:cstheme="minorHAnsi"/>
                <w:b/>
                <w:bCs/>
              </w:rPr>
              <w:t>)</w:t>
            </w:r>
          </w:p>
        </w:tc>
        <w:tc>
          <w:tcPr>
            <w:tcW w:w="601" w:type="pct"/>
            <w:vAlign w:val="center"/>
          </w:tcPr>
          <w:p w14:paraId="4531E14F" w14:textId="77777777" w:rsidR="003C1F52" w:rsidRPr="002B4EEE" w:rsidRDefault="003C1F52" w:rsidP="00F108C9">
            <w:pPr>
              <w:jc w:val="center"/>
              <w:rPr>
                <w:rFonts w:cstheme="minorHAnsi"/>
                <w:b/>
                <w:bCs/>
              </w:rPr>
            </w:pPr>
            <w:r w:rsidRPr="002B4EEE">
              <w:rPr>
                <w:rFonts w:cstheme="minorHAnsi"/>
                <w:b/>
                <w:bCs/>
              </w:rPr>
              <w:t>n/a</w:t>
            </w:r>
          </w:p>
        </w:tc>
        <w:tc>
          <w:tcPr>
            <w:tcW w:w="339" w:type="pct"/>
            <w:vAlign w:val="center"/>
          </w:tcPr>
          <w:p w14:paraId="259D7A81" w14:textId="77777777" w:rsidR="003C1F52" w:rsidRPr="002B4EEE" w:rsidRDefault="003C1F52" w:rsidP="00F108C9">
            <w:pPr>
              <w:jc w:val="center"/>
              <w:rPr>
                <w:rFonts w:cstheme="minorHAnsi"/>
                <w:b/>
                <w:bCs/>
              </w:rPr>
            </w:pPr>
            <w:r w:rsidRPr="002B4EEE">
              <w:rPr>
                <w:rFonts w:cstheme="minorHAnsi"/>
                <w:b/>
                <w:bCs/>
              </w:rPr>
              <w:t>n/a</w:t>
            </w:r>
          </w:p>
        </w:tc>
      </w:tr>
      <w:tr w:rsidR="003C1F52" w:rsidRPr="0086735D" w14:paraId="6D241DBD" w14:textId="77777777" w:rsidTr="00F108C9">
        <w:trPr>
          <w:cnfStyle w:val="000000100000" w:firstRow="0" w:lastRow="0" w:firstColumn="0" w:lastColumn="0" w:oddVBand="0" w:evenVBand="0" w:oddHBand="1" w:evenHBand="0" w:firstRowFirstColumn="0" w:firstRowLastColumn="0" w:lastRowFirstColumn="0" w:lastRowLastColumn="0"/>
        </w:trPr>
        <w:tc>
          <w:tcPr>
            <w:tcW w:w="1128" w:type="pct"/>
          </w:tcPr>
          <w:p w14:paraId="0B91CB87" w14:textId="77777777" w:rsidR="003C1F52" w:rsidRPr="00845F73" w:rsidRDefault="003C1F52" w:rsidP="00F108C9">
            <w:pPr>
              <w:rPr>
                <w:rFonts w:cstheme="minorHAnsi"/>
                <w:bCs/>
              </w:rPr>
            </w:pPr>
            <w:r w:rsidRPr="00845F73">
              <w:rPr>
                <w:rFonts w:cstheme="minorHAnsi"/>
                <w:bCs/>
              </w:rPr>
              <w:t>Durbin-Watson Statistic</w:t>
            </w:r>
          </w:p>
        </w:tc>
        <w:tc>
          <w:tcPr>
            <w:tcW w:w="995" w:type="pct"/>
          </w:tcPr>
          <w:p w14:paraId="7339ABA5" w14:textId="77777777" w:rsidR="003C1F52" w:rsidRPr="00845F73" w:rsidRDefault="003C1F52" w:rsidP="00F108C9">
            <w:pPr>
              <w:jc w:val="center"/>
              <w:rPr>
                <w:rFonts w:cstheme="minorHAnsi"/>
              </w:rPr>
            </w:pPr>
            <w:r>
              <w:rPr>
                <w:rFonts w:cstheme="minorHAnsi"/>
              </w:rPr>
              <w:t>2.27</w:t>
            </w:r>
          </w:p>
        </w:tc>
        <w:tc>
          <w:tcPr>
            <w:tcW w:w="601" w:type="pct"/>
          </w:tcPr>
          <w:p w14:paraId="067ABC3A" w14:textId="77777777" w:rsidR="003C1F52" w:rsidRPr="00845F73" w:rsidRDefault="003C1F52" w:rsidP="00F108C9">
            <w:pPr>
              <w:jc w:val="center"/>
              <w:rPr>
                <w:rFonts w:cstheme="minorHAnsi"/>
              </w:rPr>
            </w:pPr>
            <w:r>
              <w:rPr>
                <w:rFonts w:cstheme="minorHAnsi"/>
              </w:rPr>
              <w:t>n/a</w:t>
            </w:r>
          </w:p>
        </w:tc>
        <w:tc>
          <w:tcPr>
            <w:tcW w:w="340" w:type="pct"/>
          </w:tcPr>
          <w:p w14:paraId="2D93A41C" w14:textId="77777777" w:rsidR="003C1F52" w:rsidRPr="00845F73" w:rsidRDefault="003C1F52" w:rsidP="00F108C9">
            <w:pPr>
              <w:jc w:val="center"/>
              <w:rPr>
                <w:rFonts w:cstheme="minorHAnsi"/>
              </w:rPr>
            </w:pPr>
            <w:r>
              <w:rPr>
                <w:rFonts w:cstheme="minorHAnsi"/>
              </w:rPr>
              <w:t>n/a</w:t>
            </w:r>
          </w:p>
        </w:tc>
        <w:tc>
          <w:tcPr>
            <w:tcW w:w="995" w:type="pct"/>
          </w:tcPr>
          <w:p w14:paraId="140B9201" w14:textId="77777777" w:rsidR="003C1F52" w:rsidRPr="00845F73" w:rsidRDefault="003C1F52" w:rsidP="00F108C9">
            <w:pPr>
              <w:jc w:val="center"/>
              <w:rPr>
                <w:rFonts w:cstheme="minorHAnsi"/>
              </w:rPr>
            </w:pPr>
            <w:r>
              <w:rPr>
                <w:rFonts w:cstheme="minorHAnsi"/>
              </w:rPr>
              <w:t>2.16</w:t>
            </w:r>
          </w:p>
        </w:tc>
        <w:tc>
          <w:tcPr>
            <w:tcW w:w="601" w:type="pct"/>
          </w:tcPr>
          <w:p w14:paraId="1AECDCF3" w14:textId="77777777" w:rsidR="003C1F52" w:rsidRPr="00845F73" w:rsidRDefault="003C1F52" w:rsidP="00F108C9">
            <w:pPr>
              <w:jc w:val="center"/>
              <w:rPr>
                <w:rFonts w:cstheme="minorHAnsi"/>
              </w:rPr>
            </w:pPr>
            <w:r>
              <w:rPr>
                <w:rFonts w:cstheme="minorHAnsi"/>
              </w:rPr>
              <w:t>n/a</w:t>
            </w:r>
          </w:p>
        </w:tc>
        <w:tc>
          <w:tcPr>
            <w:tcW w:w="339" w:type="pct"/>
          </w:tcPr>
          <w:p w14:paraId="0BE50CAE" w14:textId="77777777" w:rsidR="003C1F52" w:rsidRPr="00845F73" w:rsidRDefault="003C1F52" w:rsidP="00F108C9">
            <w:pPr>
              <w:jc w:val="center"/>
              <w:rPr>
                <w:rFonts w:cstheme="minorHAnsi"/>
              </w:rPr>
            </w:pPr>
            <w:r>
              <w:rPr>
                <w:rFonts w:cstheme="minorHAnsi"/>
              </w:rPr>
              <w:t>n/a</w:t>
            </w:r>
          </w:p>
        </w:tc>
      </w:tr>
    </w:tbl>
    <w:p w14:paraId="32CF584A" w14:textId="77777777" w:rsidR="00963EAC" w:rsidRDefault="00963EAC" w:rsidP="00963EAC">
      <w:pPr>
        <w:spacing w:after="0"/>
        <w:rPr>
          <w:rFonts w:ascii="Arial" w:hAnsi="Arial" w:cs="Arial"/>
          <w:sz w:val="24"/>
          <w:szCs w:val="24"/>
        </w:rPr>
      </w:pPr>
      <w:r w:rsidRPr="00291577">
        <w:rPr>
          <w:rFonts w:ascii="Arial" w:hAnsi="Arial" w:cs="Arial"/>
          <w:sz w:val="24"/>
          <w:szCs w:val="24"/>
        </w:rPr>
        <w:t>β</w:t>
      </w:r>
      <w:r w:rsidRPr="00291577">
        <w:rPr>
          <w:rFonts w:ascii="Arial" w:hAnsi="Arial" w:cs="Arial"/>
          <w:sz w:val="24"/>
          <w:szCs w:val="24"/>
          <w:vertAlign w:val="subscript"/>
        </w:rPr>
        <w:t>0-3</w:t>
      </w:r>
      <w:r>
        <w:rPr>
          <w:rFonts w:ascii="Arial" w:hAnsi="Arial" w:cs="Arial"/>
          <w:sz w:val="24"/>
          <w:szCs w:val="24"/>
        </w:rPr>
        <w:t xml:space="preserve"> are coefficients from the single-group interrupted time series analysis model; the intercept represents the outcome at the start of the study period; the relative change is calculated compared to the predicted value at the same time point had the pre-intervention trend continued.    </w:t>
      </w:r>
      <w:r w:rsidRPr="0086735D">
        <w:rPr>
          <w:rFonts w:ascii="Arial" w:hAnsi="Arial" w:cs="Arial"/>
          <w:sz w:val="24"/>
          <w:szCs w:val="24"/>
        </w:rPr>
        <w:t xml:space="preserve"> </w:t>
      </w:r>
    </w:p>
    <w:p w14:paraId="17F86C48" w14:textId="7488DBD0" w:rsidR="003C1F52" w:rsidRDefault="003C1F52" w:rsidP="003C1F52">
      <w:pPr>
        <w:spacing w:after="0"/>
        <w:rPr>
          <w:rFonts w:ascii="Arial" w:hAnsi="Arial" w:cs="Arial"/>
          <w:sz w:val="24"/>
          <w:szCs w:val="24"/>
        </w:rPr>
        <w:sectPr w:rsidR="003C1F52" w:rsidSect="003A1967">
          <w:pgSz w:w="16838" w:h="11906" w:orient="landscape"/>
          <w:pgMar w:top="1440" w:right="1440" w:bottom="1440" w:left="1440" w:header="708" w:footer="708" w:gutter="0"/>
          <w:cols w:space="708"/>
          <w:docGrid w:linePitch="360"/>
        </w:sectPr>
      </w:pPr>
      <w:proofErr w:type="spellStart"/>
      <w:r w:rsidRPr="00460693">
        <w:rPr>
          <w:rFonts w:ascii="Arial" w:hAnsi="Arial" w:cs="Arial"/>
          <w:sz w:val="24"/>
          <w:szCs w:val="24"/>
          <w:vertAlign w:val="superscript"/>
        </w:rPr>
        <w:t>a</w:t>
      </w:r>
      <w:r w:rsidR="00D95243">
        <w:rPr>
          <w:rFonts w:ascii="Arial" w:hAnsi="Arial" w:cs="Arial"/>
          <w:sz w:val="24"/>
          <w:szCs w:val="24"/>
        </w:rPr>
        <w:t>Calculated</w:t>
      </w:r>
      <w:proofErr w:type="spellEnd"/>
      <w:r w:rsidR="00D95243">
        <w:rPr>
          <w:rFonts w:ascii="Arial" w:hAnsi="Arial" w:cs="Arial"/>
          <w:sz w:val="24"/>
          <w:szCs w:val="24"/>
        </w:rPr>
        <w:t xml:space="preserve"> at quarter 2 2020</w:t>
      </w:r>
      <w:r w:rsidR="00FE76D6">
        <w:rPr>
          <w:rFonts w:ascii="Arial" w:hAnsi="Arial" w:cs="Arial"/>
          <w:sz w:val="24"/>
          <w:szCs w:val="24"/>
        </w:rPr>
        <w:t xml:space="preserve">. </w:t>
      </w:r>
      <w:r w:rsidRPr="0086735D">
        <w:rPr>
          <w:rFonts w:ascii="Arial" w:hAnsi="Arial" w:cs="Arial"/>
          <w:sz w:val="24"/>
          <w:szCs w:val="24"/>
        </w:rPr>
        <w:t xml:space="preserve">95% </w:t>
      </w:r>
      <w:r>
        <w:rPr>
          <w:rFonts w:ascii="Arial" w:hAnsi="Arial" w:cs="Arial"/>
          <w:sz w:val="24"/>
          <w:szCs w:val="24"/>
        </w:rPr>
        <w:t>c</w:t>
      </w:r>
      <w:r w:rsidRPr="0086735D">
        <w:rPr>
          <w:rFonts w:ascii="Arial" w:hAnsi="Arial" w:cs="Arial"/>
          <w:sz w:val="24"/>
          <w:szCs w:val="24"/>
        </w:rPr>
        <w:t xml:space="preserve">onfidence </w:t>
      </w:r>
      <w:r>
        <w:rPr>
          <w:rFonts w:ascii="Arial" w:hAnsi="Arial" w:cs="Arial"/>
          <w:sz w:val="24"/>
          <w:szCs w:val="24"/>
        </w:rPr>
        <w:t>i</w:t>
      </w:r>
      <w:r w:rsidRPr="0086735D">
        <w:rPr>
          <w:rFonts w:ascii="Arial" w:hAnsi="Arial" w:cs="Arial"/>
          <w:sz w:val="24"/>
          <w:szCs w:val="24"/>
        </w:rPr>
        <w:t>nterval calculated using model bootstrapping</w:t>
      </w:r>
      <w:r w:rsidR="00FE76D6">
        <w:rPr>
          <w:rFonts w:ascii="Arial" w:hAnsi="Arial" w:cs="Arial"/>
          <w:sz w:val="24"/>
          <w:szCs w:val="24"/>
        </w:rPr>
        <w:t>.</w:t>
      </w:r>
      <w:r w:rsidRPr="0086735D">
        <w:rPr>
          <w:rFonts w:ascii="Arial" w:hAnsi="Arial" w:cs="Arial"/>
          <w:sz w:val="24"/>
          <w:szCs w:val="24"/>
        </w:rPr>
        <w:t xml:space="preserve"> </w:t>
      </w:r>
    </w:p>
    <w:p w14:paraId="2CACD1A4" w14:textId="62FDB957" w:rsidR="00A16019" w:rsidRDefault="00A16019" w:rsidP="00A16019">
      <w:pPr>
        <w:pStyle w:val="Heading1"/>
        <w:jc w:val="left"/>
        <w:rPr>
          <w:szCs w:val="24"/>
        </w:rPr>
      </w:pPr>
      <w:bookmarkStart w:id="12" w:name="_Toc114677334"/>
      <w:r w:rsidRPr="003A1967">
        <w:rPr>
          <w:b/>
          <w:bCs/>
        </w:rPr>
        <w:lastRenderedPageBreak/>
        <w:t>Supplementary Table S</w:t>
      </w:r>
      <w:r w:rsidR="00E452CF">
        <w:rPr>
          <w:b/>
          <w:bCs/>
        </w:rPr>
        <w:t>7</w:t>
      </w:r>
      <w:r w:rsidRPr="003A1967">
        <w:rPr>
          <w:b/>
          <w:bCs/>
        </w:rPr>
        <w:t>.</w:t>
      </w:r>
      <w:r>
        <w:t xml:space="preserve"> </w:t>
      </w:r>
      <w:r w:rsidRPr="0086735D">
        <w:rPr>
          <w:szCs w:val="24"/>
        </w:rPr>
        <w:t xml:space="preserve">Results of the </w:t>
      </w:r>
      <w:r>
        <w:rPr>
          <w:szCs w:val="24"/>
        </w:rPr>
        <w:t>controlled</w:t>
      </w:r>
      <w:r w:rsidRPr="0086735D">
        <w:rPr>
          <w:szCs w:val="24"/>
        </w:rPr>
        <w:t xml:space="preserve"> interrupted time series analysis of </w:t>
      </w:r>
      <w:r w:rsidR="00C64C4A">
        <w:rPr>
          <w:szCs w:val="24"/>
        </w:rPr>
        <w:t>female</w:t>
      </w:r>
      <w:r w:rsidR="0028033F">
        <w:rPr>
          <w:szCs w:val="24"/>
        </w:rPr>
        <w:t>s</w:t>
      </w:r>
      <w:r w:rsidR="00C64C4A">
        <w:rPr>
          <w:szCs w:val="24"/>
        </w:rPr>
        <w:t xml:space="preserve"> </w:t>
      </w:r>
      <w:r w:rsidR="0028033F">
        <w:rPr>
          <w:szCs w:val="24"/>
        </w:rPr>
        <w:t>compared to</w:t>
      </w:r>
      <w:r w:rsidR="00C64C4A">
        <w:rPr>
          <w:szCs w:val="24"/>
        </w:rPr>
        <w:t xml:space="preserve"> male</w:t>
      </w:r>
      <w:r w:rsidRPr="0086735D">
        <w:rPr>
          <w:szCs w:val="24"/>
        </w:rPr>
        <w:t xml:space="preserve"> </w:t>
      </w:r>
      <w:r w:rsidR="00383204">
        <w:rPr>
          <w:szCs w:val="24"/>
        </w:rPr>
        <w:t xml:space="preserve">opioid </w:t>
      </w:r>
      <w:r>
        <w:rPr>
          <w:szCs w:val="24"/>
        </w:rPr>
        <w:t>p</w:t>
      </w:r>
      <w:r w:rsidRPr="0086735D">
        <w:rPr>
          <w:szCs w:val="24"/>
        </w:rPr>
        <w:t xml:space="preserve">rescribing </w:t>
      </w:r>
      <w:r>
        <w:rPr>
          <w:szCs w:val="24"/>
        </w:rPr>
        <w:t>rates</w:t>
      </w:r>
      <w:r w:rsidRPr="0086735D">
        <w:rPr>
          <w:szCs w:val="24"/>
        </w:rPr>
        <w:t xml:space="preserve"> </w:t>
      </w:r>
      <w:r w:rsidR="000418C0">
        <w:rPr>
          <w:szCs w:val="24"/>
        </w:rPr>
        <w:t>in</w:t>
      </w:r>
      <w:r w:rsidRPr="0086735D">
        <w:rPr>
          <w:szCs w:val="24"/>
        </w:rPr>
        <w:t xml:space="preserve"> Scotland</w:t>
      </w:r>
      <w:bookmarkEnd w:id="12"/>
    </w:p>
    <w:tbl>
      <w:tblPr>
        <w:tblStyle w:val="PlainTable2"/>
        <w:tblW w:w="52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152"/>
        <w:gridCol w:w="2589"/>
        <w:gridCol w:w="1666"/>
        <w:gridCol w:w="986"/>
      </w:tblGrid>
      <w:tr w:rsidR="00A16019" w:rsidRPr="0086735D" w14:paraId="26595B03" w14:textId="77777777" w:rsidTr="00C41A3E">
        <w:trPr>
          <w:cnfStyle w:val="000000100000" w:firstRow="0" w:lastRow="0" w:firstColumn="0" w:lastColumn="0" w:oddVBand="0" w:evenVBand="0" w:oddHBand="1" w:evenHBand="0" w:firstRowFirstColumn="0" w:firstRowLastColumn="0" w:lastRowFirstColumn="0" w:lastRowLastColumn="0"/>
        </w:trPr>
        <w:tc>
          <w:tcPr>
            <w:tcW w:w="2210" w:type="pct"/>
            <w:shd w:val="clear" w:color="auto" w:fill="D9E2F3" w:themeFill="accent1" w:themeFillTint="33"/>
            <w:vAlign w:val="center"/>
          </w:tcPr>
          <w:p w14:paraId="7CF35E76" w14:textId="77777777" w:rsidR="00A16019" w:rsidRPr="00845F73" w:rsidRDefault="00A16019" w:rsidP="00C41A3E">
            <w:pPr>
              <w:jc w:val="center"/>
              <w:rPr>
                <w:rFonts w:cstheme="minorHAnsi"/>
                <w:b/>
              </w:rPr>
            </w:pPr>
          </w:p>
        </w:tc>
        <w:tc>
          <w:tcPr>
            <w:tcW w:w="1378" w:type="pct"/>
            <w:shd w:val="clear" w:color="auto" w:fill="D9E2F3" w:themeFill="accent1" w:themeFillTint="33"/>
            <w:vAlign w:val="center"/>
          </w:tcPr>
          <w:p w14:paraId="1F7BC590" w14:textId="77777777" w:rsidR="00A16019" w:rsidRPr="00845F73" w:rsidRDefault="00A16019" w:rsidP="00C41A3E">
            <w:pPr>
              <w:jc w:val="center"/>
              <w:rPr>
                <w:rFonts w:cstheme="minorHAnsi"/>
                <w:b/>
              </w:rPr>
            </w:pPr>
            <w:r w:rsidRPr="00845F73">
              <w:rPr>
                <w:rFonts w:cstheme="minorHAnsi"/>
                <w:b/>
              </w:rPr>
              <w:t>Estimate</w:t>
            </w:r>
          </w:p>
          <w:p w14:paraId="6A56DFFB" w14:textId="77777777" w:rsidR="00A16019" w:rsidRPr="00845F73" w:rsidRDefault="00A16019" w:rsidP="00C41A3E">
            <w:pPr>
              <w:jc w:val="center"/>
              <w:rPr>
                <w:rFonts w:cstheme="minorHAnsi"/>
                <w:b/>
              </w:rPr>
            </w:pPr>
            <w:r w:rsidRPr="00845F73">
              <w:rPr>
                <w:rFonts w:cstheme="minorHAnsi"/>
                <w:b/>
              </w:rPr>
              <w:t>(95% Confidence Interval)</w:t>
            </w:r>
          </w:p>
        </w:tc>
        <w:tc>
          <w:tcPr>
            <w:tcW w:w="887" w:type="pct"/>
            <w:shd w:val="clear" w:color="auto" w:fill="D9E2F3" w:themeFill="accent1" w:themeFillTint="33"/>
            <w:vAlign w:val="center"/>
          </w:tcPr>
          <w:p w14:paraId="21DB82A4" w14:textId="77777777" w:rsidR="00A16019" w:rsidRPr="00845F73" w:rsidRDefault="00A16019" w:rsidP="00C41A3E">
            <w:pPr>
              <w:jc w:val="center"/>
              <w:rPr>
                <w:rFonts w:cstheme="minorHAnsi"/>
                <w:b/>
              </w:rPr>
            </w:pPr>
            <w:r w:rsidRPr="00845F73">
              <w:rPr>
                <w:rFonts w:cstheme="minorHAnsi"/>
                <w:b/>
              </w:rPr>
              <w:t>Standard Error</w:t>
            </w:r>
          </w:p>
        </w:tc>
        <w:tc>
          <w:tcPr>
            <w:tcW w:w="525" w:type="pct"/>
            <w:shd w:val="clear" w:color="auto" w:fill="D9E2F3" w:themeFill="accent1" w:themeFillTint="33"/>
            <w:vAlign w:val="center"/>
          </w:tcPr>
          <w:p w14:paraId="7D2F9AFA" w14:textId="77777777" w:rsidR="00A16019" w:rsidRPr="00845F73" w:rsidRDefault="00A16019" w:rsidP="00C41A3E">
            <w:pPr>
              <w:jc w:val="center"/>
              <w:rPr>
                <w:rFonts w:cstheme="minorHAnsi"/>
                <w:b/>
              </w:rPr>
            </w:pPr>
            <w:r w:rsidRPr="00845F73">
              <w:rPr>
                <w:rFonts w:cstheme="minorHAnsi"/>
                <w:b/>
              </w:rPr>
              <w:t>P value</w:t>
            </w:r>
          </w:p>
        </w:tc>
      </w:tr>
      <w:tr w:rsidR="00A16019" w:rsidRPr="0086735D" w14:paraId="0CA3B80F" w14:textId="77777777" w:rsidTr="00C41A3E">
        <w:tc>
          <w:tcPr>
            <w:tcW w:w="2210" w:type="pct"/>
          </w:tcPr>
          <w:p w14:paraId="4D055509" w14:textId="77777777" w:rsidR="00A16019" w:rsidRPr="00845F73" w:rsidRDefault="00A16019" w:rsidP="00C41A3E">
            <w:pPr>
              <w:rPr>
                <w:rFonts w:cstheme="minorHAnsi"/>
              </w:rPr>
            </w:pPr>
            <w:r w:rsidRPr="00BF17B2">
              <w:t>Difference in Intercept, β</w:t>
            </w:r>
            <w:r w:rsidRPr="00845BAA">
              <w:rPr>
                <w:vertAlign w:val="subscript"/>
              </w:rPr>
              <w:t>4</w:t>
            </w:r>
          </w:p>
        </w:tc>
        <w:tc>
          <w:tcPr>
            <w:tcW w:w="1378" w:type="pct"/>
            <w:vAlign w:val="center"/>
          </w:tcPr>
          <w:p w14:paraId="609C1707" w14:textId="59E8C220" w:rsidR="00A16019" w:rsidRPr="00845F73" w:rsidRDefault="00A353C3" w:rsidP="00C41A3E">
            <w:pPr>
              <w:jc w:val="center"/>
              <w:rPr>
                <w:rFonts w:cstheme="minorHAnsi"/>
              </w:rPr>
            </w:pPr>
            <w:r>
              <w:rPr>
                <w:rFonts w:cstheme="minorHAnsi"/>
              </w:rPr>
              <w:t>96.</w:t>
            </w:r>
            <w:r w:rsidR="00221F64">
              <w:rPr>
                <w:rFonts w:cstheme="minorHAnsi"/>
              </w:rPr>
              <w:t xml:space="preserve">73 (87.65, </w:t>
            </w:r>
            <w:r w:rsidR="00FD51D7">
              <w:rPr>
                <w:rFonts w:cstheme="minorHAnsi"/>
              </w:rPr>
              <w:t>105.82)</w:t>
            </w:r>
          </w:p>
        </w:tc>
        <w:tc>
          <w:tcPr>
            <w:tcW w:w="887" w:type="pct"/>
            <w:vAlign w:val="center"/>
          </w:tcPr>
          <w:p w14:paraId="5F2C62CC" w14:textId="4AB57746" w:rsidR="00A16019" w:rsidRPr="00845F73" w:rsidRDefault="00221F64" w:rsidP="00C41A3E">
            <w:pPr>
              <w:jc w:val="center"/>
              <w:rPr>
                <w:rFonts w:cstheme="minorHAnsi"/>
              </w:rPr>
            </w:pPr>
            <w:r>
              <w:rPr>
                <w:rFonts w:cstheme="minorHAnsi"/>
              </w:rPr>
              <w:t>4.56</w:t>
            </w:r>
          </w:p>
        </w:tc>
        <w:tc>
          <w:tcPr>
            <w:tcW w:w="525" w:type="pct"/>
            <w:vAlign w:val="center"/>
          </w:tcPr>
          <w:p w14:paraId="44D72498" w14:textId="7FE75065" w:rsidR="00A16019" w:rsidRPr="00845F73" w:rsidRDefault="00221F64" w:rsidP="00C41A3E">
            <w:pPr>
              <w:jc w:val="center"/>
              <w:rPr>
                <w:rFonts w:cstheme="minorHAnsi"/>
              </w:rPr>
            </w:pPr>
            <w:r>
              <w:rPr>
                <w:rFonts w:cstheme="minorHAnsi"/>
              </w:rPr>
              <w:t>&lt;0.01</w:t>
            </w:r>
          </w:p>
        </w:tc>
      </w:tr>
      <w:tr w:rsidR="00A16019" w:rsidRPr="0086735D" w14:paraId="6754760A" w14:textId="77777777" w:rsidTr="00C41A3E">
        <w:trPr>
          <w:cnfStyle w:val="000000100000" w:firstRow="0" w:lastRow="0" w:firstColumn="0" w:lastColumn="0" w:oddVBand="0" w:evenVBand="0" w:oddHBand="1" w:evenHBand="0" w:firstRowFirstColumn="0" w:firstRowLastColumn="0" w:lastRowFirstColumn="0" w:lastRowLastColumn="0"/>
        </w:trPr>
        <w:tc>
          <w:tcPr>
            <w:tcW w:w="2210" w:type="pct"/>
          </w:tcPr>
          <w:p w14:paraId="7FD8CCF2" w14:textId="77777777" w:rsidR="00A16019" w:rsidRPr="00845F73" w:rsidRDefault="00A16019" w:rsidP="00C41A3E">
            <w:pPr>
              <w:rPr>
                <w:rFonts w:cstheme="minorHAnsi"/>
              </w:rPr>
            </w:pPr>
            <w:r w:rsidRPr="00BF17B2">
              <w:t>Difference in Pre-Intervention Trend, β</w:t>
            </w:r>
            <w:r w:rsidRPr="00845BAA">
              <w:rPr>
                <w:vertAlign w:val="subscript"/>
              </w:rPr>
              <w:t>5</w:t>
            </w:r>
          </w:p>
        </w:tc>
        <w:tc>
          <w:tcPr>
            <w:tcW w:w="1378" w:type="pct"/>
            <w:vAlign w:val="center"/>
          </w:tcPr>
          <w:p w14:paraId="3B3B5447" w14:textId="129C7113" w:rsidR="00A16019" w:rsidRPr="00845F73" w:rsidRDefault="00FD51D7" w:rsidP="00C41A3E">
            <w:pPr>
              <w:jc w:val="center"/>
              <w:rPr>
                <w:rFonts w:cstheme="minorHAnsi"/>
              </w:rPr>
            </w:pPr>
            <w:r>
              <w:rPr>
                <w:rFonts w:cstheme="minorHAnsi"/>
              </w:rPr>
              <w:t>0.64 (-0.30, 1.58)</w:t>
            </w:r>
          </w:p>
        </w:tc>
        <w:tc>
          <w:tcPr>
            <w:tcW w:w="887" w:type="pct"/>
            <w:vAlign w:val="center"/>
          </w:tcPr>
          <w:p w14:paraId="6E1D0514" w14:textId="00E38960" w:rsidR="00A16019" w:rsidRPr="00845F73" w:rsidRDefault="005234E9" w:rsidP="00C41A3E">
            <w:pPr>
              <w:jc w:val="center"/>
              <w:rPr>
                <w:rFonts w:cstheme="minorHAnsi"/>
              </w:rPr>
            </w:pPr>
            <w:r>
              <w:rPr>
                <w:rFonts w:cstheme="minorHAnsi"/>
              </w:rPr>
              <w:t>0.47</w:t>
            </w:r>
          </w:p>
        </w:tc>
        <w:tc>
          <w:tcPr>
            <w:tcW w:w="525" w:type="pct"/>
            <w:vAlign w:val="center"/>
          </w:tcPr>
          <w:p w14:paraId="6A58AF92" w14:textId="68CC338E" w:rsidR="00A16019" w:rsidRPr="00845F73" w:rsidRDefault="005234E9" w:rsidP="00C41A3E">
            <w:pPr>
              <w:jc w:val="center"/>
              <w:rPr>
                <w:rFonts w:cstheme="minorHAnsi"/>
              </w:rPr>
            </w:pPr>
            <w:r>
              <w:rPr>
                <w:rFonts w:cstheme="minorHAnsi"/>
              </w:rPr>
              <w:t>0.18</w:t>
            </w:r>
          </w:p>
        </w:tc>
      </w:tr>
      <w:tr w:rsidR="00A16019" w:rsidRPr="0086735D" w14:paraId="15A36029" w14:textId="77777777" w:rsidTr="00C41A3E">
        <w:tc>
          <w:tcPr>
            <w:tcW w:w="2210" w:type="pct"/>
          </w:tcPr>
          <w:p w14:paraId="2E413D18" w14:textId="77777777" w:rsidR="00A16019" w:rsidRPr="00845F73" w:rsidRDefault="00A16019" w:rsidP="00C41A3E">
            <w:pPr>
              <w:rPr>
                <w:rFonts w:cstheme="minorHAnsi"/>
              </w:rPr>
            </w:pPr>
            <w:r w:rsidRPr="00BF17B2">
              <w:t>Difference in Change in Level, β</w:t>
            </w:r>
            <w:r w:rsidRPr="00845BAA">
              <w:rPr>
                <w:vertAlign w:val="subscript"/>
              </w:rPr>
              <w:t>6</w:t>
            </w:r>
          </w:p>
        </w:tc>
        <w:tc>
          <w:tcPr>
            <w:tcW w:w="1378" w:type="pct"/>
            <w:vAlign w:val="center"/>
          </w:tcPr>
          <w:p w14:paraId="17D184EF" w14:textId="1470E2D8" w:rsidR="00A16019" w:rsidRPr="00845F73" w:rsidRDefault="00C2738B" w:rsidP="00C41A3E">
            <w:pPr>
              <w:jc w:val="center"/>
              <w:rPr>
                <w:rFonts w:cstheme="minorHAnsi"/>
              </w:rPr>
            </w:pPr>
            <w:r>
              <w:rPr>
                <w:rFonts w:cstheme="minorHAnsi"/>
              </w:rPr>
              <w:t>2.43 (-8.41, 13.26)</w:t>
            </w:r>
          </w:p>
        </w:tc>
        <w:tc>
          <w:tcPr>
            <w:tcW w:w="887" w:type="pct"/>
            <w:vAlign w:val="center"/>
          </w:tcPr>
          <w:p w14:paraId="5BE575AD" w14:textId="38653948" w:rsidR="00A16019" w:rsidRPr="00845F73" w:rsidRDefault="00A96413" w:rsidP="00C41A3E">
            <w:pPr>
              <w:jc w:val="center"/>
              <w:rPr>
                <w:rFonts w:cstheme="minorHAnsi"/>
              </w:rPr>
            </w:pPr>
            <w:r>
              <w:rPr>
                <w:rFonts w:cstheme="minorHAnsi"/>
              </w:rPr>
              <w:t>5.44</w:t>
            </w:r>
          </w:p>
        </w:tc>
        <w:tc>
          <w:tcPr>
            <w:tcW w:w="525" w:type="pct"/>
            <w:vAlign w:val="center"/>
          </w:tcPr>
          <w:p w14:paraId="0CE0582D" w14:textId="33FA4E89" w:rsidR="00A16019" w:rsidRPr="00845F73" w:rsidRDefault="00A96413" w:rsidP="00C41A3E">
            <w:pPr>
              <w:jc w:val="center"/>
              <w:rPr>
                <w:rFonts w:cstheme="minorHAnsi"/>
              </w:rPr>
            </w:pPr>
            <w:r>
              <w:rPr>
                <w:rFonts w:cstheme="minorHAnsi"/>
              </w:rPr>
              <w:t>0.66</w:t>
            </w:r>
          </w:p>
        </w:tc>
      </w:tr>
      <w:tr w:rsidR="00A16019" w:rsidRPr="0086735D" w14:paraId="6C410A48" w14:textId="77777777" w:rsidTr="00C41A3E">
        <w:trPr>
          <w:cnfStyle w:val="000000100000" w:firstRow="0" w:lastRow="0" w:firstColumn="0" w:lastColumn="0" w:oddVBand="0" w:evenVBand="0" w:oddHBand="1" w:evenHBand="0" w:firstRowFirstColumn="0" w:firstRowLastColumn="0" w:lastRowFirstColumn="0" w:lastRowLastColumn="0"/>
        </w:trPr>
        <w:tc>
          <w:tcPr>
            <w:tcW w:w="2210" w:type="pct"/>
          </w:tcPr>
          <w:p w14:paraId="37ACC602" w14:textId="77777777" w:rsidR="00A16019" w:rsidRPr="00845F73" w:rsidRDefault="00A16019" w:rsidP="00C41A3E">
            <w:pPr>
              <w:rPr>
                <w:rFonts w:cstheme="minorHAnsi"/>
              </w:rPr>
            </w:pPr>
            <w:r w:rsidRPr="00BF17B2">
              <w:t>Difference in Change in Trend, β</w:t>
            </w:r>
            <w:r w:rsidRPr="00845BAA">
              <w:rPr>
                <w:vertAlign w:val="subscript"/>
              </w:rPr>
              <w:t>7</w:t>
            </w:r>
          </w:p>
        </w:tc>
        <w:tc>
          <w:tcPr>
            <w:tcW w:w="1378" w:type="pct"/>
            <w:vAlign w:val="center"/>
          </w:tcPr>
          <w:p w14:paraId="7A350EA5" w14:textId="3F2DD45B" w:rsidR="00A16019" w:rsidRPr="00845F73" w:rsidRDefault="00A96413" w:rsidP="00C41A3E">
            <w:pPr>
              <w:jc w:val="center"/>
              <w:rPr>
                <w:rFonts w:cstheme="minorHAnsi"/>
              </w:rPr>
            </w:pPr>
            <w:r>
              <w:rPr>
                <w:rFonts w:cstheme="minorHAnsi"/>
              </w:rPr>
              <w:t>-0.74 (-1.78, 0.31)</w:t>
            </w:r>
          </w:p>
        </w:tc>
        <w:tc>
          <w:tcPr>
            <w:tcW w:w="887" w:type="pct"/>
            <w:vAlign w:val="center"/>
          </w:tcPr>
          <w:p w14:paraId="607FBA90" w14:textId="0427B045" w:rsidR="00A16019" w:rsidRPr="00845F73" w:rsidRDefault="009B6156" w:rsidP="00C41A3E">
            <w:pPr>
              <w:jc w:val="center"/>
              <w:rPr>
                <w:rFonts w:cstheme="minorHAnsi"/>
              </w:rPr>
            </w:pPr>
            <w:r>
              <w:rPr>
                <w:rFonts w:cstheme="minorHAnsi"/>
              </w:rPr>
              <w:t>0.52</w:t>
            </w:r>
          </w:p>
        </w:tc>
        <w:tc>
          <w:tcPr>
            <w:tcW w:w="525" w:type="pct"/>
            <w:vAlign w:val="center"/>
          </w:tcPr>
          <w:p w14:paraId="1F251270" w14:textId="0B1325CB" w:rsidR="00A16019" w:rsidRPr="00845F73" w:rsidRDefault="009B6156" w:rsidP="00C41A3E">
            <w:pPr>
              <w:jc w:val="center"/>
              <w:rPr>
                <w:rFonts w:cstheme="minorHAnsi"/>
              </w:rPr>
            </w:pPr>
            <w:r>
              <w:rPr>
                <w:rFonts w:cstheme="minorHAnsi"/>
              </w:rPr>
              <w:t>0.16</w:t>
            </w:r>
          </w:p>
        </w:tc>
      </w:tr>
      <w:tr w:rsidR="00A16019" w:rsidRPr="0086735D" w14:paraId="41E631F2" w14:textId="77777777" w:rsidTr="00C41A3E">
        <w:tc>
          <w:tcPr>
            <w:tcW w:w="2210" w:type="pct"/>
          </w:tcPr>
          <w:p w14:paraId="163463D2" w14:textId="77777777" w:rsidR="00A16019" w:rsidRPr="00845F73" w:rsidRDefault="00A16019" w:rsidP="00C41A3E">
            <w:pPr>
              <w:rPr>
                <w:rFonts w:cstheme="minorHAnsi"/>
                <w:bCs/>
              </w:rPr>
            </w:pPr>
            <w:r w:rsidRPr="00BF17B2">
              <w:t>Difference in Post-Intervention Trend, β</w:t>
            </w:r>
            <w:r w:rsidRPr="00845BAA">
              <w:rPr>
                <w:vertAlign w:val="subscript"/>
              </w:rPr>
              <w:t>5+7</w:t>
            </w:r>
          </w:p>
        </w:tc>
        <w:tc>
          <w:tcPr>
            <w:tcW w:w="1378" w:type="pct"/>
          </w:tcPr>
          <w:p w14:paraId="72E625E9" w14:textId="20400929" w:rsidR="00A16019" w:rsidRPr="00845F73" w:rsidRDefault="00703BF7" w:rsidP="00C41A3E">
            <w:pPr>
              <w:jc w:val="center"/>
              <w:rPr>
                <w:rFonts w:cstheme="minorHAnsi"/>
              </w:rPr>
            </w:pPr>
            <w:r>
              <w:rPr>
                <w:rFonts w:cstheme="minorHAnsi"/>
              </w:rPr>
              <w:t>-0.10 (</w:t>
            </w:r>
            <w:r w:rsidR="00B91D45">
              <w:rPr>
                <w:rFonts w:cstheme="minorHAnsi"/>
              </w:rPr>
              <w:t>-0.58, 0.38)</w:t>
            </w:r>
          </w:p>
        </w:tc>
        <w:tc>
          <w:tcPr>
            <w:tcW w:w="887" w:type="pct"/>
          </w:tcPr>
          <w:p w14:paraId="02494573" w14:textId="62782D37" w:rsidR="00A16019" w:rsidRPr="00845F73" w:rsidRDefault="00B91D45" w:rsidP="00C41A3E">
            <w:pPr>
              <w:jc w:val="center"/>
              <w:rPr>
                <w:rFonts w:cstheme="minorHAnsi"/>
              </w:rPr>
            </w:pPr>
            <w:r>
              <w:rPr>
                <w:rFonts w:cstheme="minorHAnsi"/>
              </w:rPr>
              <w:t>0.24</w:t>
            </w:r>
          </w:p>
        </w:tc>
        <w:tc>
          <w:tcPr>
            <w:tcW w:w="525" w:type="pct"/>
          </w:tcPr>
          <w:p w14:paraId="4FF9EC2C" w14:textId="44EA98D4" w:rsidR="00A16019" w:rsidRPr="00845F73" w:rsidRDefault="00B91D45" w:rsidP="00C41A3E">
            <w:pPr>
              <w:jc w:val="center"/>
              <w:rPr>
                <w:rFonts w:cstheme="minorHAnsi"/>
              </w:rPr>
            </w:pPr>
            <w:r>
              <w:rPr>
                <w:rFonts w:cstheme="minorHAnsi"/>
              </w:rPr>
              <w:t>0.68</w:t>
            </w:r>
          </w:p>
        </w:tc>
      </w:tr>
      <w:tr w:rsidR="00226DF0" w:rsidRPr="0086735D" w14:paraId="225FFB7C" w14:textId="77777777" w:rsidTr="00C41A3E">
        <w:trPr>
          <w:cnfStyle w:val="000000100000" w:firstRow="0" w:lastRow="0" w:firstColumn="0" w:lastColumn="0" w:oddVBand="0" w:evenVBand="0" w:oddHBand="1" w:evenHBand="0" w:firstRowFirstColumn="0" w:firstRowLastColumn="0" w:lastRowFirstColumn="0" w:lastRowLastColumn="0"/>
        </w:trPr>
        <w:tc>
          <w:tcPr>
            <w:tcW w:w="2210" w:type="pct"/>
          </w:tcPr>
          <w:p w14:paraId="3716F937" w14:textId="77777777" w:rsidR="00226DF0" w:rsidRPr="00845F73" w:rsidRDefault="00226DF0" w:rsidP="00226DF0">
            <w:pPr>
              <w:rPr>
                <w:rFonts w:cstheme="minorHAnsi"/>
                <w:bCs/>
              </w:rPr>
            </w:pPr>
            <w:r w:rsidRPr="00BF17B2">
              <w:t>Durbin-Watson Statistic</w:t>
            </w:r>
          </w:p>
        </w:tc>
        <w:tc>
          <w:tcPr>
            <w:tcW w:w="1378" w:type="pct"/>
          </w:tcPr>
          <w:p w14:paraId="076386D4" w14:textId="1ED3B698" w:rsidR="00226DF0" w:rsidRPr="00845F73" w:rsidRDefault="00226DF0" w:rsidP="00226DF0">
            <w:pPr>
              <w:jc w:val="center"/>
              <w:rPr>
                <w:rFonts w:cstheme="minorHAnsi"/>
              </w:rPr>
            </w:pPr>
            <w:r>
              <w:rPr>
                <w:rFonts w:cstheme="minorHAnsi"/>
              </w:rPr>
              <w:t>2.25</w:t>
            </w:r>
          </w:p>
        </w:tc>
        <w:tc>
          <w:tcPr>
            <w:tcW w:w="887" w:type="pct"/>
          </w:tcPr>
          <w:p w14:paraId="1038304F" w14:textId="2F5FBC62" w:rsidR="00226DF0" w:rsidRPr="00845F73" w:rsidRDefault="00226DF0" w:rsidP="00226DF0">
            <w:pPr>
              <w:jc w:val="center"/>
              <w:rPr>
                <w:rFonts w:cstheme="minorHAnsi"/>
              </w:rPr>
            </w:pPr>
            <w:r>
              <w:rPr>
                <w:rFonts w:cstheme="minorHAnsi"/>
              </w:rPr>
              <w:t>n/a</w:t>
            </w:r>
          </w:p>
        </w:tc>
        <w:tc>
          <w:tcPr>
            <w:tcW w:w="525" w:type="pct"/>
          </w:tcPr>
          <w:p w14:paraId="56A21081" w14:textId="06CABE84" w:rsidR="00226DF0" w:rsidRPr="00845F73" w:rsidRDefault="00226DF0" w:rsidP="00DF6D61">
            <w:pPr>
              <w:jc w:val="center"/>
              <w:rPr>
                <w:rFonts w:cstheme="minorHAnsi"/>
              </w:rPr>
            </w:pPr>
            <w:r>
              <w:rPr>
                <w:rFonts w:cstheme="minorHAnsi"/>
              </w:rPr>
              <w:t>n/a</w:t>
            </w:r>
          </w:p>
        </w:tc>
      </w:tr>
    </w:tbl>
    <w:p w14:paraId="6C96FE5C" w14:textId="51AE65D9" w:rsidR="00494B5C" w:rsidRDefault="007B564D" w:rsidP="00A16019">
      <w:pPr>
        <w:spacing w:after="0"/>
        <w:rPr>
          <w:rFonts w:ascii="Arial" w:hAnsi="Arial" w:cs="Arial"/>
          <w:sz w:val="24"/>
          <w:szCs w:val="24"/>
        </w:rPr>
      </w:pPr>
      <w:r w:rsidRPr="00291577">
        <w:rPr>
          <w:rFonts w:ascii="Arial" w:hAnsi="Arial" w:cs="Arial"/>
          <w:sz w:val="24"/>
          <w:szCs w:val="24"/>
        </w:rPr>
        <w:t>β</w:t>
      </w:r>
      <w:r>
        <w:rPr>
          <w:rFonts w:ascii="Arial" w:hAnsi="Arial" w:cs="Arial"/>
          <w:sz w:val="24"/>
          <w:szCs w:val="24"/>
          <w:vertAlign w:val="subscript"/>
        </w:rPr>
        <w:t>4-7</w:t>
      </w:r>
      <w:r>
        <w:rPr>
          <w:rFonts w:ascii="Arial" w:hAnsi="Arial" w:cs="Arial"/>
          <w:sz w:val="24"/>
          <w:szCs w:val="24"/>
        </w:rPr>
        <w:t xml:space="preserve"> are coefficients from the controlled interrupted time series analysis model; the intercept represents the outcome at the start of the study period</w:t>
      </w:r>
      <w:r w:rsidR="00615CCD">
        <w:rPr>
          <w:rFonts w:ascii="Arial" w:hAnsi="Arial" w:cs="Arial"/>
          <w:sz w:val="24"/>
          <w:szCs w:val="24"/>
        </w:rPr>
        <w:t>.</w:t>
      </w:r>
      <w:r w:rsidR="00494B5C">
        <w:rPr>
          <w:rFonts w:ascii="Arial" w:hAnsi="Arial" w:cs="Arial"/>
          <w:sz w:val="24"/>
          <w:szCs w:val="24"/>
        </w:rPr>
        <w:br w:type="page"/>
      </w:r>
    </w:p>
    <w:p w14:paraId="7402CBEE" w14:textId="77777777" w:rsidR="00494B5C" w:rsidRDefault="00494B5C" w:rsidP="00A16019">
      <w:pPr>
        <w:spacing w:after="0"/>
        <w:rPr>
          <w:rFonts w:ascii="Arial" w:hAnsi="Arial" w:cs="Arial"/>
          <w:sz w:val="24"/>
          <w:szCs w:val="24"/>
        </w:rPr>
        <w:sectPr w:rsidR="00494B5C" w:rsidSect="008C5F49">
          <w:pgSz w:w="11906" w:h="16838"/>
          <w:pgMar w:top="1440" w:right="1440" w:bottom="1440" w:left="1440" w:header="708" w:footer="708" w:gutter="0"/>
          <w:cols w:space="708"/>
          <w:docGrid w:linePitch="360"/>
        </w:sectPr>
      </w:pPr>
    </w:p>
    <w:p w14:paraId="11F72907" w14:textId="5A7D0112" w:rsidR="00444374" w:rsidRDefault="00444374" w:rsidP="00444374">
      <w:pPr>
        <w:pStyle w:val="Heading1"/>
        <w:jc w:val="left"/>
        <w:rPr>
          <w:szCs w:val="24"/>
        </w:rPr>
      </w:pPr>
      <w:bookmarkStart w:id="13" w:name="_Toc114677335"/>
      <w:r w:rsidRPr="003A1967">
        <w:rPr>
          <w:b/>
          <w:bCs/>
        </w:rPr>
        <w:lastRenderedPageBreak/>
        <w:t>Supplementary Table S</w:t>
      </w:r>
      <w:r w:rsidR="00FF05CB">
        <w:rPr>
          <w:b/>
          <w:bCs/>
        </w:rPr>
        <w:t>8</w:t>
      </w:r>
      <w:r w:rsidRPr="003A1967">
        <w:rPr>
          <w:b/>
          <w:bCs/>
        </w:rPr>
        <w:t>.</w:t>
      </w:r>
      <w:r>
        <w:t xml:space="preserve"> </w:t>
      </w:r>
      <w:r w:rsidRPr="0086735D">
        <w:rPr>
          <w:szCs w:val="24"/>
        </w:rPr>
        <w:t xml:space="preserve">Results of the </w:t>
      </w:r>
      <w:r w:rsidR="00383204">
        <w:rPr>
          <w:szCs w:val="24"/>
        </w:rPr>
        <w:t>single</w:t>
      </w:r>
      <w:r w:rsidRPr="0086735D">
        <w:rPr>
          <w:szCs w:val="24"/>
        </w:rPr>
        <w:t xml:space="preserve"> interrupted time series analys</w:t>
      </w:r>
      <w:r w:rsidR="00383204">
        <w:rPr>
          <w:szCs w:val="24"/>
        </w:rPr>
        <w:t>e</w:t>
      </w:r>
      <w:r w:rsidRPr="0086735D">
        <w:rPr>
          <w:szCs w:val="24"/>
        </w:rPr>
        <w:t xml:space="preserve">s of </w:t>
      </w:r>
      <w:r w:rsidR="00383204">
        <w:rPr>
          <w:szCs w:val="24"/>
        </w:rPr>
        <w:t xml:space="preserve">opioid </w:t>
      </w:r>
      <w:r>
        <w:rPr>
          <w:szCs w:val="24"/>
        </w:rPr>
        <w:t>p</w:t>
      </w:r>
      <w:r w:rsidRPr="0086735D">
        <w:rPr>
          <w:szCs w:val="24"/>
        </w:rPr>
        <w:t xml:space="preserve">rescribing </w:t>
      </w:r>
      <w:r>
        <w:rPr>
          <w:szCs w:val="24"/>
        </w:rPr>
        <w:t>rates</w:t>
      </w:r>
      <w:r w:rsidR="00383204">
        <w:rPr>
          <w:szCs w:val="24"/>
        </w:rPr>
        <w:t xml:space="preserve"> by age category</w:t>
      </w:r>
      <w:r w:rsidRPr="0086735D">
        <w:rPr>
          <w:szCs w:val="24"/>
        </w:rPr>
        <w:t xml:space="preserve"> </w:t>
      </w:r>
      <w:r w:rsidR="00BB5B3B">
        <w:rPr>
          <w:szCs w:val="24"/>
        </w:rPr>
        <w:t>in</w:t>
      </w:r>
      <w:r w:rsidRPr="0086735D">
        <w:rPr>
          <w:szCs w:val="24"/>
        </w:rPr>
        <w:t xml:space="preserve"> Scotland</w:t>
      </w:r>
      <w:bookmarkEnd w:id="13"/>
    </w:p>
    <w:tbl>
      <w:tblPr>
        <w:tblStyle w:val="PlainTable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314"/>
        <w:gridCol w:w="2865"/>
        <w:gridCol w:w="1780"/>
        <w:gridCol w:w="1057"/>
      </w:tblGrid>
      <w:tr w:rsidR="008B6673" w:rsidRPr="0086735D" w14:paraId="2F9BB2A1" w14:textId="77777777" w:rsidTr="00B97EAE">
        <w:trPr>
          <w:cnfStyle w:val="000000100000" w:firstRow="0" w:lastRow="0" w:firstColumn="0" w:lastColumn="0" w:oddVBand="0" w:evenVBand="0" w:oddHBand="1" w:evenHBand="0" w:firstRowFirstColumn="0" w:firstRowLastColumn="0" w:lastRowFirstColumn="0" w:lastRowLastColumn="0"/>
        </w:trPr>
        <w:tc>
          <w:tcPr>
            <w:tcW w:w="1838" w:type="pct"/>
            <w:shd w:val="clear" w:color="auto" w:fill="D9E2F3" w:themeFill="accent1" w:themeFillTint="33"/>
            <w:vAlign w:val="center"/>
          </w:tcPr>
          <w:p w14:paraId="51ED9D13" w14:textId="77777777" w:rsidR="00444374" w:rsidRPr="00845F73" w:rsidRDefault="00444374" w:rsidP="00C41A3E">
            <w:pPr>
              <w:jc w:val="center"/>
              <w:rPr>
                <w:rFonts w:cstheme="minorHAnsi"/>
                <w:b/>
              </w:rPr>
            </w:pPr>
          </w:p>
        </w:tc>
        <w:tc>
          <w:tcPr>
            <w:tcW w:w="1589" w:type="pct"/>
            <w:shd w:val="clear" w:color="auto" w:fill="D9E2F3" w:themeFill="accent1" w:themeFillTint="33"/>
            <w:vAlign w:val="center"/>
          </w:tcPr>
          <w:p w14:paraId="23AFD033" w14:textId="77777777" w:rsidR="00444374" w:rsidRPr="00845F73" w:rsidRDefault="00444374" w:rsidP="00C41A3E">
            <w:pPr>
              <w:jc w:val="center"/>
              <w:rPr>
                <w:rFonts w:cstheme="minorHAnsi"/>
                <w:b/>
              </w:rPr>
            </w:pPr>
            <w:r w:rsidRPr="00845F73">
              <w:rPr>
                <w:rFonts w:cstheme="minorHAnsi"/>
                <w:b/>
              </w:rPr>
              <w:t>Estimate</w:t>
            </w:r>
          </w:p>
          <w:p w14:paraId="2AD2F664" w14:textId="77777777" w:rsidR="00444374" w:rsidRPr="00845F73" w:rsidRDefault="00444374" w:rsidP="00C41A3E">
            <w:pPr>
              <w:jc w:val="center"/>
              <w:rPr>
                <w:rFonts w:cstheme="minorHAnsi"/>
                <w:b/>
              </w:rPr>
            </w:pPr>
            <w:r w:rsidRPr="00845F73">
              <w:rPr>
                <w:rFonts w:cstheme="minorHAnsi"/>
                <w:b/>
              </w:rPr>
              <w:t>(95% Confidence Interval)</w:t>
            </w:r>
          </w:p>
        </w:tc>
        <w:tc>
          <w:tcPr>
            <w:tcW w:w="987" w:type="pct"/>
            <w:shd w:val="clear" w:color="auto" w:fill="D9E2F3" w:themeFill="accent1" w:themeFillTint="33"/>
            <w:vAlign w:val="center"/>
          </w:tcPr>
          <w:p w14:paraId="7A432734" w14:textId="77777777" w:rsidR="00444374" w:rsidRPr="00845F73" w:rsidRDefault="00444374" w:rsidP="00C41A3E">
            <w:pPr>
              <w:jc w:val="center"/>
              <w:rPr>
                <w:rFonts w:cstheme="minorHAnsi"/>
                <w:b/>
              </w:rPr>
            </w:pPr>
            <w:r w:rsidRPr="00845F73">
              <w:rPr>
                <w:rFonts w:cstheme="minorHAnsi"/>
                <w:b/>
              </w:rPr>
              <w:t>Standard Error</w:t>
            </w:r>
          </w:p>
        </w:tc>
        <w:tc>
          <w:tcPr>
            <w:tcW w:w="586" w:type="pct"/>
            <w:shd w:val="clear" w:color="auto" w:fill="D9E2F3" w:themeFill="accent1" w:themeFillTint="33"/>
            <w:vAlign w:val="center"/>
          </w:tcPr>
          <w:p w14:paraId="7D43DDAA" w14:textId="77777777" w:rsidR="00444374" w:rsidRPr="00845F73" w:rsidRDefault="00444374" w:rsidP="00C41A3E">
            <w:pPr>
              <w:jc w:val="center"/>
              <w:rPr>
                <w:rFonts w:cstheme="minorHAnsi"/>
                <w:b/>
              </w:rPr>
            </w:pPr>
            <w:r w:rsidRPr="00845F73">
              <w:rPr>
                <w:rFonts w:cstheme="minorHAnsi"/>
                <w:b/>
              </w:rPr>
              <w:t>P value</w:t>
            </w:r>
          </w:p>
        </w:tc>
      </w:tr>
      <w:tr w:rsidR="000335E2" w:rsidRPr="0086735D" w14:paraId="11932B32" w14:textId="77777777" w:rsidTr="00B97EAE">
        <w:tc>
          <w:tcPr>
            <w:tcW w:w="5000" w:type="pct"/>
            <w:gridSpan w:val="4"/>
            <w:vAlign w:val="center"/>
          </w:tcPr>
          <w:p w14:paraId="6976E745" w14:textId="7B90C7F6" w:rsidR="000335E2" w:rsidRPr="00845F73" w:rsidRDefault="000335E2" w:rsidP="000335E2">
            <w:pPr>
              <w:rPr>
                <w:rFonts w:cstheme="minorHAnsi"/>
              </w:rPr>
            </w:pPr>
            <w:r w:rsidRPr="00E122D3">
              <w:rPr>
                <w:rFonts w:cstheme="minorHAnsi"/>
                <w:b/>
                <w:bCs/>
              </w:rPr>
              <w:t>0-29 years</w:t>
            </w:r>
          </w:p>
        </w:tc>
      </w:tr>
      <w:tr w:rsidR="008B6673" w:rsidRPr="0086735D" w14:paraId="2FEE70CF" w14:textId="77777777" w:rsidTr="00B97EAE">
        <w:trPr>
          <w:cnfStyle w:val="000000100000" w:firstRow="0" w:lastRow="0" w:firstColumn="0" w:lastColumn="0" w:oddVBand="0" w:evenVBand="0" w:oddHBand="1" w:evenHBand="0" w:firstRowFirstColumn="0" w:firstRowLastColumn="0" w:lastRowFirstColumn="0" w:lastRowLastColumn="0"/>
        </w:trPr>
        <w:tc>
          <w:tcPr>
            <w:tcW w:w="1838" w:type="pct"/>
          </w:tcPr>
          <w:p w14:paraId="03208550" w14:textId="64099FBE" w:rsidR="00EF019E" w:rsidRPr="00845F73" w:rsidRDefault="00EF019E" w:rsidP="00EF019E">
            <w:pPr>
              <w:rPr>
                <w:rFonts w:cstheme="minorHAnsi"/>
              </w:rPr>
            </w:pPr>
            <w:r w:rsidRPr="00845F73">
              <w:rPr>
                <w:rFonts w:cstheme="minorHAnsi"/>
              </w:rPr>
              <w:t>Intercept, β</w:t>
            </w:r>
            <w:r w:rsidRPr="00845F73">
              <w:rPr>
                <w:rFonts w:cstheme="minorHAnsi"/>
                <w:vertAlign w:val="subscript"/>
              </w:rPr>
              <w:t>0</w:t>
            </w:r>
          </w:p>
        </w:tc>
        <w:tc>
          <w:tcPr>
            <w:tcW w:w="1589" w:type="pct"/>
            <w:vAlign w:val="center"/>
          </w:tcPr>
          <w:p w14:paraId="11A6F1BB" w14:textId="391EC304" w:rsidR="00EF019E" w:rsidRPr="00845F73" w:rsidRDefault="00103EBF" w:rsidP="00EF019E">
            <w:pPr>
              <w:jc w:val="center"/>
              <w:rPr>
                <w:rFonts w:cstheme="minorHAnsi"/>
              </w:rPr>
            </w:pPr>
            <w:r>
              <w:rPr>
                <w:rFonts w:cstheme="minorHAnsi"/>
              </w:rPr>
              <w:t>35.</w:t>
            </w:r>
            <w:r w:rsidR="00D8770E">
              <w:rPr>
                <w:rFonts w:cstheme="minorHAnsi"/>
              </w:rPr>
              <w:t>56 (33.34, 37.78)</w:t>
            </w:r>
          </w:p>
        </w:tc>
        <w:tc>
          <w:tcPr>
            <w:tcW w:w="987" w:type="pct"/>
            <w:vAlign w:val="center"/>
          </w:tcPr>
          <w:p w14:paraId="4C945818" w14:textId="006ADA93" w:rsidR="00EF019E" w:rsidRPr="00845F73" w:rsidRDefault="00D8770E" w:rsidP="00EF019E">
            <w:pPr>
              <w:jc w:val="center"/>
              <w:rPr>
                <w:rFonts w:cstheme="minorHAnsi"/>
              </w:rPr>
            </w:pPr>
            <w:r>
              <w:rPr>
                <w:rFonts w:cstheme="minorHAnsi"/>
              </w:rPr>
              <w:t>1.10</w:t>
            </w:r>
          </w:p>
        </w:tc>
        <w:tc>
          <w:tcPr>
            <w:tcW w:w="586" w:type="pct"/>
            <w:vAlign w:val="center"/>
          </w:tcPr>
          <w:p w14:paraId="7204744C" w14:textId="3EC84F30" w:rsidR="00EF019E" w:rsidRPr="00845F73" w:rsidRDefault="00D8770E" w:rsidP="00EF019E">
            <w:pPr>
              <w:jc w:val="center"/>
              <w:rPr>
                <w:rFonts w:cstheme="minorHAnsi"/>
              </w:rPr>
            </w:pPr>
            <w:r>
              <w:rPr>
                <w:rFonts w:cstheme="minorHAnsi"/>
              </w:rPr>
              <w:t>&lt;0.01</w:t>
            </w:r>
          </w:p>
        </w:tc>
      </w:tr>
      <w:tr w:rsidR="008B6673" w:rsidRPr="0086735D" w14:paraId="35AA344A" w14:textId="77777777" w:rsidTr="00B97EAE">
        <w:tc>
          <w:tcPr>
            <w:tcW w:w="1838" w:type="pct"/>
          </w:tcPr>
          <w:p w14:paraId="696A8FEF" w14:textId="60421722" w:rsidR="00EF019E" w:rsidRPr="00845F73" w:rsidRDefault="00EF019E" w:rsidP="00EF019E">
            <w:pPr>
              <w:rPr>
                <w:rFonts w:cstheme="minorHAnsi"/>
              </w:rPr>
            </w:pPr>
            <w:r w:rsidRPr="00845F73">
              <w:rPr>
                <w:rFonts w:cstheme="minorHAnsi"/>
              </w:rPr>
              <w:t>Pre-Intervention Trend, β</w:t>
            </w:r>
            <w:r w:rsidRPr="00845F73">
              <w:rPr>
                <w:rFonts w:cstheme="minorHAnsi"/>
                <w:vertAlign w:val="subscript"/>
              </w:rPr>
              <w:t>1</w:t>
            </w:r>
          </w:p>
        </w:tc>
        <w:tc>
          <w:tcPr>
            <w:tcW w:w="1589" w:type="pct"/>
            <w:vAlign w:val="center"/>
          </w:tcPr>
          <w:p w14:paraId="3820C2C1" w14:textId="6D3522C5" w:rsidR="00EF019E" w:rsidRPr="00845F73" w:rsidRDefault="003B64BA" w:rsidP="00EF019E">
            <w:pPr>
              <w:jc w:val="center"/>
              <w:rPr>
                <w:rFonts w:cstheme="minorHAnsi"/>
              </w:rPr>
            </w:pPr>
            <w:r>
              <w:rPr>
                <w:rFonts w:cstheme="minorHAnsi"/>
              </w:rPr>
              <w:t>0.33 (0.10, 0.56)</w:t>
            </w:r>
          </w:p>
        </w:tc>
        <w:tc>
          <w:tcPr>
            <w:tcW w:w="987" w:type="pct"/>
            <w:vAlign w:val="center"/>
          </w:tcPr>
          <w:p w14:paraId="5BDC3469" w14:textId="7AFF9B09" w:rsidR="00EF019E" w:rsidRPr="00845F73" w:rsidRDefault="003B64BA" w:rsidP="00EF019E">
            <w:pPr>
              <w:jc w:val="center"/>
              <w:rPr>
                <w:rFonts w:cstheme="minorHAnsi"/>
              </w:rPr>
            </w:pPr>
            <w:r>
              <w:rPr>
                <w:rFonts w:cstheme="minorHAnsi"/>
              </w:rPr>
              <w:t>0.11</w:t>
            </w:r>
          </w:p>
        </w:tc>
        <w:tc>
          <w:tcPr>
            <w:tcW w:w="586" w:type="pct"/>
            <w:vAlign w:val="center"/>
          </w:tcPr>
          <w:p w14:paraId="29D3993B" w14:textId="7A6DF367" w:rsidR="00EF019E" w:rsidRPr="00845F73" w:rsidRDefault="003B64BA" w:rsidP="00EF019E">
            <w:pPr>
              <w:jc w:val="center"/>
              <w:rPr>
                <w:rFonts w:cstheme="minorHAnsi"/>
              </w:rPr>
            </w:pPr>
            <w:r>
              <w:rPr>
                <w:rFonts w:cstheme="minorHAnsi"/>
              </w:rPr>
              <w:t>0.01</w:t>
            </w:r>
          </w:p>
        </w:tc>
      </w:tr>
      <w:tr w:rsidR="008B6673" w:rsidRPr="0086735D" w14:paraId="414FB244" w14:textId="77777777" w:rsidTr="00B97EAE">
        <w:trPr>
          <w:cnfStyle w:val="000000100000" w:firstRow="0" w:lastRow="0" w:firstColumn="0" w:lastColumn="0" w:oddVBand="0" w:evenVBand="0" w:oddHBand="1" w:evenHBand="0" w:firstRowFirstColumn="0" w:firstRowLastColumn="0" w:lastRowFirstColumn="0" w:lastRowLastColumn="0"/>
        </w:trPr>
        <w:tc>
          <w:tcPr>
            <w:tcW w:w="1838" w:type="pct"/>
            <w:vAlign w:val="center"/>
          </w:tcPr>
          <w:p w14:paraId="5DA4DC23" w14:textId="627E6EC2" w:rsidR="00EF019E" w:rsidRPr="00845F73" w:rsidRDefault="00EF019E" w:rsidP="00EF019E">
            <w:pPr>
              <w:rPr>
                <w:rFonts w:cstheme="minorHAnsi"/>
              </w:rPr>
            </w:pPr>
            <w:r w:rsidRPr="00845F73">
              <w:rPr>
                <w:rFonts w:cstheme="minorHAnsi"/>
              </w:rPr>
              <w:t>Change in Level, β</w:t>
            </w:r>
            <w:r w:rsidRPr="00845F73">
              <w:rPr>
                <w:rFonts w:cstheme="minorHAnsi"/>
                <w:vertAlign w:val="subscript"/>
              </w:rPr>
              <w:t>2</w:t>
            </w:r>
          </w:p>
        </w:tc>
        <w:tc>
          <w:tcPr>
            <w:tcW w:w="1589" w:type="pct"/>
            <w:vAlign w:val="center"/>
          </w:tcPr>
          <w:p w14:paraId="189E2214" w14:textId="5DC684D3" w:rsidR="00EF019E" w:rsidRPr="00845F73" w:rsidRDefault="00B638FE" w:rsidP="00EF019E">
            <w:pPr>
              <w:jc w:val="center"/>
              <w:rPr>
                <w:rFonts w:cstheme="minorHAnsi"/>
              </w:rPr>
            </w:pPr>
            <w:r>
              <w:rPr>
                <w:rFonts w:cstheme="minorHAnsi"/>
              </w:rPr>
              <w:t>1.47 (-1.18, 4.12)</w:t>
            </w:r>
          </w:p>
        </w:tc>
        <w:tc>
          <w:tcPr>
            <w:tcW w:w="987" w:type="pct"/>
            <w:vAlign w:val="center"/>
          </w:tcPr>
          <w:p w14:paraId="058E1A4F" w14:textId="1C82AF5B" w:rsidR="00EF019E" w:rsidRPr="00845F73" w:rsidRDefault="00B638FE" w:rsidP="00EF019E">
            <w:pPr>
              <w:jc w:val="center"/>
              <w:rPr>
                <w:rFonts w:cstheme="minorHAnsi"/>
              </w:rPr>
            </w:pPr>
            <w:r>
              <w:rPr>
                <w:rFonts w:cstheme="minorHAnsi"/>
              </w:rPr>
              <w:t>1.31</w:t>
            </w:r>
          </w:p>
        </w:tc>
        <w:tc>
          <w:tcPr>
            <w:tcW w:w="586" w:type="pct"/>
            <w:vAlign w:val="center"/>
          </w:tcPr>
          <w:p w14:paraId="3793EF4A" w14:textId="616BE2AA" w:rsidR="00EF019E" w:rsidRPr="00845F73" w:rsidRDefault="00B638FE" w:rsidP="00EF019E">
            <w:pPr>
              <w:jc w:val="center"/>
              <w:rPr>
                <w:rFonts w:cstheme="minorHAnsi"/>
              </w:rPr>
            </w:pPr>
            <w:r>
              <w:rPr>
                <w:rFonts w:cstheme="minorHAnsi"/>
              </w:rPr>
              <w:t>0.27</w:t>
            </w:r>
          </w:p>
        </w:tc>
      </w:tr>
      <w:tr w:rsidR="008B6673" w:rsidRPr="0086735D" w14:paraId="039B1E14" w14:textId="77777777" w:rsidTr="00B97EAE">
        <w:tc>
          <w:tcPr>
            <w:tcW w:w="1838" w:type="pct"/>
          </w:tcPr>
          <w:p w14:paraId="2976A003" w14:textId="276BE889" w:rsidR="00EF019E" w:rsidRPr="00845F73" w:rsidRDefault="00EF019E" w:rsidP="00EF019E">
            <w:pPr>
              <w:rPr>
                <w:rFonts w:cstheme="minorHAnsi"/>
              </w:rPr>
            </w:pPr>
            <w:r w:rsidRPr="00845F73">
              <w:rPr>
                <w:rFonts w:cstheme="minorHAnsi"/>
              </w:rPr>
              <w:t>Change in Trend, β</w:t>
            </w:r>
            <w:r w:rsidRPr="00845F73">
              <w:rPr>
                <w:rFonts w:cstheme="minorHAnsi"/>
                <w:vertAlign w:val="subscript"/>
              </w:rPr>
              <w:t>3</w:t>
            </w:r>
          </w:p>
        </w:tc>
        <w:tc>
          <w:tcPr>
            <w:tcW w:w="1589" w:type="pct"/>
            <w:vAlign w:val="center"/>
          </w:tcPr>
          <w:p w14:paraId="46E56D9A" w14:textId="2BF3D679" w:rsidR="00EF019E" w:rsidRPr="00845F73" w:rsidRDefault="005C10F6" w:rsidP="00EF019E">
            <w:pPr>
              <w:jc w:val="center"/>
              <w:rPr>
                <w:rFonts w:cstheme="minorHAnsi"/>
              </w:rPr>
            </w:pPr>
            <w:r>
              <w:rPr>
                <w:rFonts w:cstheme="minorHAnsi"/>
              </w:rPr>
              <w:t>-0.7</w:t>
            </w:r>
            <w:r w:rsidR="00562538">
              <w:rPr>
                <w:rFonts w:cstheme="minorHAnsi"/>
              </w:rPr>
              <w:t>4 (</w:t>
            </w:r>
            <w:r w:rsidR="00C70ED7">
              <w:rPr>
                <w:rFonts w:cstheme="minorHAnsi"/>
              </w:rPr>
              <w:t xml:space="preserve">-1.00, </w:t>
            </w:r>
            <w:r w:rsidR="00616508">
              <w:rPr>
                <w:rFonts w:cstheme="minorHAnsi"/>
              </w:rPr>
              <w:t>-0.49)</w:t>
            </w:r>
          </w:p>
        </w:tc>
        <w:tc>
          <w:tcPr>
            <w:tcW w:w="987" w:type="pct"/>
            <w:vAlign w:val="center"/>
          </w:tcPr>
          <w:p w14:paraId="6AAA96F7" w14:textId="478A53FA" w:rsidR="00EF019E" w:rsidRPr="00845F73" w:rsidRDefault="00616508" w:rsidP="00EF019E">
            <w:pPr>
              <w:jc w:val="center"/>
              <w:rPr>
                <w:rFonts w:cstheme="minorHAnsi"/>
              </w:rPr>
            </w:pPr>
            <w:r>
              <w:rPr>
                <w:rFonts w:cstheme="minorHAnsi"/>
              </w:rPr>
              <w:t>0.13</w:t>
            </w:r>
          </w:p>
        </w:tc>
        <w:tc>
          <w:tcPr>
            <w:tcW w:w="586" w:type="pct"/>
            <w:vAlign w:val="center"/>
          </w:tcPr>
          <w:p w14:paraId="2D6E82C2" w14:textId="1881D1CB" w:rsidR="00EF019E" w:rsidRPr="00845F73" w:rsidRDefault="00616508" w:rsidP="00EF019E">
            <w:pPr>
              <w:jc w:val="center"/>
              <w:rPr>
                <w:rFonts w:cstheme="minorHAnsi"/>
              </w:rPr>
            </w:pPr>
            <w:r>
              <w:rPr>
                <w:rFonts w:cstheme="minorHAnsi"/>
              </w:rPr>
              <w:t>&lt;0.01</w:t>
            </w:r>
          </w:p>
        </w:tc>
      </w:tr>
      <w:tr w:rsidR="008B6673" w:rsidRPr="0086735D" w14:paraId="1288740D" w14:textId="77777777" w:rsidTr="00B97EAE">
        <w:trPr>
          <w:cnfStyle w:val="000000100000" w:firstRow="0" w:lastRow="0" w:firstColumn="0" w:lastColumn="0" w:oddVBand="0" w:evenVBand="0" w:oddHBand="1" w:evenHBand="0" w:firstRowFirstColumn="0" w:firstRowLastColumn="0" w:lastRowFirstColumn="0" w:lastRowLastColumn="0"/>
        </w:trPr>
        <w:tc>
          <w:tcPr>
            <w:tcW w:w="1838" w:type="pct"/>
          </w:tcPr>
          <w:p w14:paraId="70DD9152" w14:textId="71C4A45C" w:rsidR="00EF019E" w:rsidRPr="00845F73" w:rsidRDefault="00EF019E" w:rsidP="00EF019E">
            <w:pPr>
              <w:rPr>
                <w:rFonts w:cstheme="minorHAnsi"/>
                <w:bCs/>
              </w:rPr>
            </w:pPr>
            <w:r w:rsidRPr="00845F73">
              <w:rPr>
                <w:rFonts w:cstheme="minorHAnsi"/>
                <w:bCs/>
              </w:rPr>
              <w:t xml:space="preserve">Post-Intervention Trend, </w:t>
            </w:r>
            <w:r w:rsidRPr="00845F73">
              <w:rPr>
                <w:rFonts w:cstheme="minorHAnsi"/>
              </w:rPr>
              <w:t>β</w:t>
            </w:r>
            <w:r w:rsidRPr="00845F73">
              <w:rPr>
                <w:rFonts w:cstheme="minorHAnsi"/>
                <w:vertAlign w:val="subscript"/>
              </w:rPr>
              <w:t>1+3</w:t>
            </w:r>
          </w:p>
        </w:tc>
        <w:tc>
          <w:tcPr>
            <w:tcW w:w="1589" w:type="pct"/>
          </w:tcPr>
          <w:p w14:paraId="7F1CEF7F" w14:textId="263C54E7" w:rsidR="00EF019E" w:rsidRPr="00845F73" w:rsidRDefault="00616508" w:rsidP="00EF019E">
            <w:pPr>
              <w:jc w:val="center"/>
              <w:rPr>
                <w:rFonts w:cstheme="minorHAnsi"/>
              </w:rPr>
            </w:pPr>
            <w:r>
              <w:rPr>
                <w:rFonts w:cstheme="minorHAnsi"/>
              </w:rPr>
              <w:t>-0.41 (</w:t>
            </w:r>
            <w:r w:rsidR="00C61973">
              <w:rPr>
                <w:rFonts w:cstheme="minorHAnsi"/>
              </w:rPr>
              <w:t>-0.53, -0.30)</w:t>
            </w:r>
          </w:p>
        </w:tc>
        <w:tc>
          <w:tcPr>
            <w:tcW w:w="987" w:type="pct"/>
          </w:tcPr>
          <w:p w14:paraId="141CCCF5" w14:textId="16E01FE5" w:rsidR="00EF019E" w:rsidRPr="00845F73" w:rsidRDefault="00476D8A" w:rsidP="00EF019E">
            <w:pPr>
              <w:jc w:val="center"/>
              <w:rPr>
                <w:rFonts w:cstheme="minorHAnsi"/>
              </w:rPr>
            </w:pPr>
            <w:r>
              <w:rPr>
                <w:rFonts w:cstheme="minorHAnsi"/>
              </w:rPr>
              <w:t>0.06</w:t>
            </w:r>
          </w:p>
        </w:tc>
        <w:tc>
          <w:tcPr>
            <w:tcW w:w="586" w:type="pct"/>
          </w:tcPr>
          <w:p w14:paraId="2FEF832F" w14:textId="1D4A77FE" w:rsidR="00EF019E" w:rsidRPr="00845F73" w:rsidRDefault="00476D8A" w:rsidP="00EF019E">
            <w:pPr>
              <w:jc w:val="center"/>
              <w:rPr>
                <w:rFonts w:cstheme="minorHAnsi"/>
              </w:rPr>
            </w:pPr>
            <w:r>
              <w:rPr>
                <w:rFonts w:cstheme="minorHAnsi"/>
              </w:rPr>
              <w:t>&lt;0.01</w:t>
            </w:r>
          </w:p>
        </w:tc>
      </w:tr>
      <w:tr w:rsidR="0024783D" w:rsidRPr="0086735D" w14:paraId="31D3F355" w14:textId="77777777" w:rsidTr="00B97EAE">
        <w:tc>
          <w:tcPr>
            <w:tcW w:w="1838" w:type="pct"/>
          </w:tcPr>
          <w:p w14:paraId="17D8BF43" w14:textId="12C25B13" w:rsidR="0024783D" w:rsidRPr="00845F73" w:rsidRDefault="0024783D" w:rsidP="0024783D">
            <w:pPr>
              <w:rPr>
                <w:rFonts w:cstheme="minorHAnsi"/>
                <w:bCs/>
              </w:rPr>
            </w:pPr>
            <w:r w:rsidRPr="00845F73">
              <w:rPr>
                <w:rFonts w:cstheme="minorHAnsi"/>
                <w:bCs/>
              </w:rPr>
              <w:t xml:space="preserve">Relative </w:t>
            </w:r>
            <w:r w:rsidR="00DB4509">
              <w:rPr>
                <w:rFonts w:cstheme="minorHAnsi"/>
                <w:bCs/>
              </w:rPr>
              <w:t>Change</w:t>
            </w:r>
            <w:r w:rsidRPr="00845F73">
              <w:rPr>
                <w:rFonts w:cstheme="minorHAnsi"/>
                <w:bCs/>
              </w:rPr>
              <w:t>, %</w:t>
            </w:r>
            <w:r>
              <w:rPr>
                <w:rFonts w:cstheme="minorHAnsi"/>
                <w:bCs/>
                <w:vertAlign w:val="superscript"/>
              </w:rPr>
              <w:t>a</w:t>
            </w:r>
          </w:p>
        </w:tc>
        <w:tc>
          <w:tcPr>
            <w:tcW w:w="1589" w:type="pct"/>
          </w:tcPr>
          <w:p w14:paraId="712E2B14" w14:textId="28314A9A" w:rsidR="0024783D" w:rsidRPr="00845F73" w:rsidRDefault="0024783D" w:rsidP="0024783D">
            <w:pPr>
              <w:jc w:val="center"/>
              <w:rPr>
                <w:rFonts w:cstheme="minorHAnsi"/>
              </w:rPr>
            </w:pPr>
            <w:r>
              <w:rPr>
                <w:rFonts w:cstheme="minorHAnsi"/>
              </w:rPr>
              <w:t>-36.13 (-44.</w:t>
            </w:r>
            <w:r w:rsidR="00C94B0A">
              <w:rPr>
                <w:rFonts w:cstheme="minorHAnsi"/>
              </w:rPr>
              <w:t>28</w:t>
            </w:r>
            <w:r>
              <w:rPr>
                <w:rFonts w:cstheme="minorHAnsi"/>
              </w:rPr>
              <w:t>, -22.5</w:t>
            </w:r>
            <w:r w:rsidR="00B445E3">
              <w:rPr>
                <w:rFonts w:cstheme="minorHAnsi"/>
              </w:rPr>
              <w:t>3</w:t>
            </w:r>
            <w:r>
              <w:rPr>
                <w:rFonts w:cstheme="minorHAnsi"/>
              </w:rPr>
              <w:t>)</w:t>
            </w:r>
          </w:p>
        </w:tc>
        <w:tc>
          <w:tcPr>
            <w:tcW w:w="987" w:type="pct"/>
          </w:tcPr>
          <w:p w14:paraId="133791E2" w14:textId="71A3D8FF" w:rsidR="0024783D" w:rsidRPr="00845F73" w:rsidRDefault="0024783D" w:rsidP="0024783D">
            <w:pPr>
              <w:jc w:val="center"/>
              <w:rPr>
                <w:rFonts w:cstheme="minorHAnsi"/>
              </w:rPr>
            </w:pPr>
            <w:r>
              <w:rPr>
                <w:rFonts w:cstheme="minorHAnsi"/>
              </w:rPr>
              <w:t>n/a</w:t>
            </w:r>
          </w:p>
        </w:tc>
        <w:tc>
          <w:tcPr>
            <w:tcW w:w="586" w:type="pct"/>
          </w:tcPr>
          <w:p w14:paraId="55E44911" w14:textId="35C89DE8" w:rsidR="0024783D" w:rsidRPr="00845F73" w:rsidRDefault="0024783D" w:rsidP="0024783D">
            <w:pPr>
              <w:jc w:val="center"/>
              <w:rPr>
                <w:rFonts w:cstheme="minorHAnsi"/>
              </w:rPr>
            </w:pPr>
            <w:r>
              <w:rPr>
                <w:rFonts w:cstheme="minorHAnsi"/>
              </w:rPr>
              <w:t>n/a</w:t>
            </w:r>
          </w:p>
        </w:tc>
      </w:tr>
      <w:tr w:rsidR="0024783D" w:rsidRPr="0086735D" w14:paraId="7455950B" w14:textId="77777777" w:rsidTr="00B97EAE">
        <w:trPr>
          <w:cnfStyle w:val="000000100000" w:firstRow="0" w:lastRow="0" w:firstColumn="0" w:lastColumn="0" w:oddVBand="0" w:evenVBand="0" w:oddHBand="1" w:evenHBand="0" w:firstRowFirstColumn="0" w:firstRowLastColumn="0" w:lastRowFirstColumn="0" w:lastRowLastColumn="0"/>
        </w:trPr>
        <w:tc>
          <w:tcPr>
            <w:tcW w:w="1838" w:type="pct"/>
          </w:tcPr>
          <w:p w14:paraId="404BCF0E" w14:textId="4A98F003" w:rsidR="0024783D" w:rsidRPr="00BF17B2" w:rsidRDefault="0024783D" w:rsidP="0024783D">
            <w:r w:rsidRPr="00845F73">
              <w:rPr>
                <w:rFonts w:cstheme="minorHAnsi"/>
                <w:bCs/>
              </w:rPr>
              <w:t>Durbin-Watson Statistic</w:t>
            </w:r>
          </w:p>
        </w:tc>
        <w:tc>
          <w:tcPr>
            <w:tcW w:w="1589" w:type="pct"/>
          </w:tcPr>
          <w:p w14:paraId="37531B83" w14:textId="13DF79F3" w:rsidR="0024783D" w:rsidRPr="00845F73" w:rsidRDefault="0024783D" w:rsidP="0024783D">
            <w:pPr>
              <w:jc w:val="center"/>
              <w:rPr>
                <w:rFonts w:cstheme="minorHAnsi"/>
              </w:rPr>
            </w:pPr>
            <w:r>
              <w:rPr>
                <w:rFonts w:cstheme="minorHAnsi"/>
              </w:rPr>
              <w:t>1.80</w:t>
            </w:r>
          </w:p>
        </w:tc>
        <w:tc>
          <w:tcPr>
            <w:tcW w:w="987" w:type="pct"/>
          </w:tcPr>
          <w:p w14:paraId="0A5338C0" w14:textId="645AED37" w:rsidR="0024783D" w:rsidRPr="00845F73" w:rsidRDefault="0024783D" w:rsidP="0024783D">
            <w:pPr>
              <w:jc w:val="center"/>
              <w:rPr>
                <w:rFonts w:cstheme="minorHAnsi"/>
              </w:rPr>
            </w:pPr>
            <w:r>
              <w:rPr>
                <w:rFonts w:cstheme="minorHAnsi"/>
              </w:rPr>
              <w:t>n/a</w:t>
            </w:r>
          </w:p>
        </w:tc>
        <w:tc>
          <w:tcPr>
            <w:tcW w:w="586" w:type="pct"/>
          </w:tcPr>
          <w:p w14:paraId="35B4CE28" w14:textId="0F4B3565" w:rsidR="0024783D" w:rsidRPr="00845F73" w:rsidRDefault="0024783D" w:rsidP="0024783D">
            <w:pPr>
              <w:jc w:val="center"/>
              <w:rPr>
                <w:rFonts w:cstheme="minorHAnsi"/>
              </w:rPr>
            </w:pPr>
            <w:r>
              <w:rPr>
                <w:rFonts w:cstheme="minorHAnsi"/>
              </w:rPr>
              <w:t>n/a</w:t>
            </w:r>
          </w:p>
        </w:tc>
      </w:tr>
      <w:tr w:rsidR="0024783D" w:rsidRPr="0086735D" w14:paraId="6FA3A81D" w14:textId="77777777" w:rsidTr="00B97EAE">
        <w:tc>
          <w:tcPr>
            <w:tcW w:w="5000" w:type="pct"/>
            <w:gridSpan w:val="4"/>
          </w:tcPr>
          <w:p w14:paraId="586D2EA7" w14:textId="15492D54" w:rsidR="0024783D" w:rsidRPr="00845F73" w:rsidRDefault="0024783D" w:rsidP="0024783D">
            <w:pPr>
              <w:rPr>
                <w:rFonts w:cstheme="minorHAnsi"/>
              </w:rPr>
            </w:pPr>
            <w:r w:rsidRPr="00E122D3">
              <w:rPr>
                <w:b/>
                <w:bCs/>
              </w:rPr>
              <w:t>30-49</w:t>
            </w:r>
            <w:r>
              <w:rPr>
                <w:b/>
                <w:bCs/>
              </w:rPr>
              <w:t xml:space="preserve"> years</w:t>
            </w:r>
          </w:p>
        </w:tc>
      </w:tr>
      <w:tr w:rsidR="0024783D" w:rsidRPr="0086735D" w14:paraId="4E5B22F3" w14:textId="77777777" w:rsidTr="00B97EAE">
        <w:trPr>
          <w:cnfStyle w:val="000000100000" w:firstRow="0" w:lastRow="0" w:firstColumn="0" w:lastColumn="0" w:oddVBand="0" w:evenVBand="0" w:oddHBand="1" w:evenHBand="0" w:firstRowFirstColumn="0" w:firstRowLastColumn="0" w:lastRowFirstColumn="0" w:lastRowLastColumn="0"/>
        </w:trPr>
        <w:tc>
          <w:tcPr>
            <w:tcW w:w="1838" w:type="pct"/>
          </w:tcPr>
          <w:p w14:paraId="1023E877" w14:textId="635C053E" w:rsidR="0024783D" w:rsidRPr="00BF17B2" w:rsidRDefault="0024783D" w:rsidP="0024783D">
            <w:r w:rsidRPr="00845F73">
              <w:rPr>
                <w:rFonts w:cstheme="minorHAnsi"/>
              </w:rPr>
              <w:t>Intercept, β</w:t>
            </w:r>
            <w:r w:rsidRPr="00845F73">
              <w:rPr>
                <w:rFonts w:cstheme="minorHAnsi"/>
                <w:vertAlign w:val="subscript"/>
              </w:rPr>
              <w:t>0</w:t>
            </w:r>
          </w:p>
        </w:tc>
        <w:tc>
          <w:tcPr>
            <w:tcW w:w="1589" w:type="pct"/>
          </w:tcPr>
          <w:p w14:paraId="4C99E6CF" w14:textId="3577C6F7" w:rsidR="0024783D" w:rsidRPr="00845F73" w:rsidRDefault="0024783D" w:rsidP="0024783D">
            <w:pPr>
              <w:jc w:val="center"/>
              <w:rPr>
                <w:rFonts w:cstheme="minorHAnsi"/>
              </w:rPr>
            </w:pPr>
            <w:r>
              <w:rPr>
                <w:rFonts w:cstheme="minorHAnsi"/>
              </w:rPr>
              <w:t>235.12 (226.01, 244.22)</w:t>
            </w:r>
          </w:p>
        </w:tc>
        <w:tc>
          <w:tcPr>
            <w:tcW w:w="987" w:type="pct"/>
          </w:tcPr>
          <w:p w14:paraId="47387B46" w14:textId="35908E5A" w:rsidR="0024783D" w:rsidRPr="00845F73" w:rsidRDefault="0024783D" w:rsidP="0024783D">
            <w:pPr>
              <w:jc w:val="center"/>
              <w:rPr>
                <w:rFonts w:cstheme="minorHAnsi"/>
              </w:rPr>
            </w:pPr>
            <w:r>
              <w:rPr>
                <w:rFonts w:cstheme="minorHAnsi"/>
              </w:rPr>
              <w:t>4.50</w:t>
            </w:r>
          </w:p>
        </w:tc>
        <w:tc>
          <w:tcPr>
            <w:tcW w:w="586" w:type="pct"/>
          </w:tcPr>
          <w:p w14:paraId="5CDE11BB" w14:textId="3AB37C19" w:rsidR="0024783D" w:rsidRPr="00845F73" w:rsidRDefault="0024783D" w:rsidP="0024783D">
            <w:pPr>
              <w:jc w:val="center"/>
              <w:rPr>
                <w:rFonts w:cstheme="minorHAnsi"/>
              </w:rPr>
            </w:pPr>
            <w:r>
              <w:rPr>
                <w:rFonts w:cstheme="minorHAnsi"/>
              </w:rPr>
              <w:t>&lt;0.01</w:t>
            </w:r>
          </w:p>
        </w:tc>
      </w:tr>
      <w:tr w:rsidR="0024783D" w:rsidRPr="0086735D" w14:paraId="576BE099" w14:textId="77777777" w:rsidTr="00B97EAE">
        <w:tc>
          <w:tcPr>
            <w:tcW w:w="1838" w:type="pct"/>
          </w:tcPr>
          <w:p w14:paraId="3C9295C3" w14:textId="5C420BC4" w:rsidR="0024783D" w:rsidRPr="00BF17B2" w:rsidRDefault="0024783D" w:rsidP="0024783D">
            <w:r w:rsidRPr="00845F73">
              <w:rPr>
                <w:rFonts w:cstheme="minorHAnsi"/>
              </w:rPr>
              <w:t>Pre-Intervention Trend, β</w:t>
            </w:r>
            <w:r w:rsidRPr="00845F73">
              <w:rPr>
                <w:rFonts w:cstheme="minorHAnsi"/>
                <w:vertAlign w:val="subscript"/>
              </w:rPr>
              <w:t>1</w:t>
            </w:r>
          </w:p>
        </w:tc>
        <w:tc>
          <w:tcPr>
            <w:tcW w:w="1589" w:type="pct"/>
          </w:tcPr>
          <w:p w14:paraId="5E883720" w14:textId="4330926E" w:rsidR="0024783D" w:rsidRPr="00845F73" w:rsidRDefault="0024783D" w:rsidP="0024783D">
            <w:pPr>
              <w:jc w:val="center"/>
              <w:rPr>
                <w:rFonts w:cstheme="minorHAnsi"/>
              </w:rPr>
            </w:pPr>
            <w:r>
              <w:rPr>
                <w:rFonts w:cstheme="minorHAnsi"/>
              </w:rPr>
              <w:t>4.33 (3.39, 5.27)</w:t>
            </w:r>
          </w:p>
        </w:tc>
        <w:tc>
          <w:tcPr>
            <w:tcW w:w="987" w:type="pct"/>
          </w:tcPr>
          <w:p w14:paraId="2AB7B166" w14:textId="0239DEF1" w:rsidR="0024783D" w:rsidRPr="00845F73" w:rsidRDefault="0024783D" w:rsidP="0024783D">
            <w:pPr>
              <w:jc w:val="center"/>
              <w:rPr>
                <w:rFonts w:cstheme="minorHAnsi"/>
              </w:rPr>
            </w:pPr>
            <w:r>
              <w:rPr>
                <w:rFonts w:cstheme="minorHAnsi"/>
              </w:rPr>
              <w:t>0.47</w:t>
            </w:r>
          </w:p>
        </w:tc>
        <w:tc>
          <w:tcPr>
            <w:tcW w:w="586" w:type="pct"/>
          </w:tcPr>
          <w:p w14:paraId="641D69AC" w14:textId="493029A9" w:rsidR="0024783D" w:rsidRPr="00845F73" w:rsidRDefault="0024783D" w:rsidP="0024783D">
            <w:pPr>
              <w:jc w:val="center"/>
              <w:rPr>
                <w:rFonts w:cstheme="minorHAnsi"/>
              </w:rPr>
            </w:pPr>
            <w:r>
              <w:rPr>
                <w:rFonts w:cstheme="minorHAnsi"/>
              </w:rPr>
              <w:t>&lt;0.01</w:t>
            </w:r>
          </w:p>
        </w:tc>
      </w:tr>
      <w:tr w:rsidR="0024783D" w:rsidRPr="0086735D" w14:paraId="51E26A7E" w14:textId="77777777" w:rsidTr="00B97EAE">
        <w:trPr>
          <w:cnfStyle w:val="000000100000" w:firstRow="0" w:lastRow="0" w:firstColumn="0" w:lastColumn="0" w:oddVBand="0" w:evenVBand="0" w:oddHBand="1" w:evenHBand="0" w:firstRowFirstColumn="0" w:firstRowLastColumn="0" w:lastRowFirstColumn="0" w:lastRowLastColumn="0"/>
        </w:trPr>
        <w:tc>
          <w:tcPr>
            <w:tcW w:w="1838" w:type="pct"/>
            <w:vAlign w:val="center"/>
          </w:tcPr>
          <w:p w14:paraId="13DBB8DE" w14:textId="6CCA3BC9" w:rsidR="0024783D" w:rsidRPr="00BF17B2" w:rsidRDefault="0024783D" w:rsidP="0024783D">
            <w:r w:rsidRPr="00845F73">
              <w:rPr>
                <w:rFonts w:cstheme="minorHAnsi"/>
              </w:rPr>
              <w:t>Change in Level, β</w:t>
            </w:r>
            <w:r w:rsidRPr="00845F73">
              <w:rPr>
                <w:rFonts w:cstheme="minorHAnsi"/>
                <w:vertAlign w:val="subscript"/>
              </w:rPr>
              <w:t>2</w:t>
            </w:r>
          </w:p>
        </w:tc>
        <w:tc>
          <w:tcPr>
            <w:tcW w:w="1589" w:type="pct"/>
          </w:tcPr>
          <w:p w14:paraId="6F4FD571" w14:textId="07EF2315" w:rsidR="0024783D" w:rsidRPr="00845F73" w:rsidRDefault="0024783D" w:rsidP="0024783D">
            <w:pPr>
              <w:jc w:val="center"/>
              <w:rPr>
                <w:rFonts w:cstheme="minorHAnsi"/>
              </w:rPr>
            </w:pPr>
            <w:r>
              <w:rPr>
                <w:rFonts w:cstheme="minorHAnsi"/>
              </w:rPr>
              <w:t>10.42 (-0.44, 21.27)</w:t>
            </w:r>
          </w:p>
        </w:tc>
        <w:tc>
          <w:tcPr>
            <w:tcW w:w="987" w:type="pct"/>
          </w:tcPr>
          <w:p w14:paraId="64BC441D" w14:textId="600A4D10" w:rsidR="0024783D" w:rsidRPr="00845F73" w:rsidRDefault="0024783D" w:rsidP="0024783D">
            <w:pPr>
              <w:jc w:val="center"/>
              <w:rPr>
                <w:rFonts w:cstheme="minorHAnsi"/>
              </w:rPr>
            </w:pPr>
            <w:r>
              <w:rPr>
                <w:rFonts w:cstheme="minorHAnsi"/>
              </w:rPr>
              <w:t>5.36</w:t>
            </w:r>
          </w:p>
        </w:tc>
        <w:tc>
          <w:tcPr>
            <w:tcW w:w="586" w:type="pct"/>
          </w:tcPr>
          <w:p w14:paraId="258DF450" w14:textId="388CDA4A" w:rsidR="0024783D" w:rsidRPr="00845F73" w:rsidRDefault="0024783D" w:rsidP="0024783D">
            <w:pPr>
              <w:jc w:val="center"/>
              <w:rPr>
                <w:rFonts w:cstheme="minorHAnsi"/>
              </w:rPr>
            </w:pPr>
            <w:r>
              <w:rPr>
                <w:rFonts w:cstheme="minorHAnsi"/>
              </w:rPr>
              <w:t>0.06</w:t>
            </w:r>
          </w:p>
        </w:tc>
      </w:tr>
      <w:tr w:rsidR="0024783D" w:rsidRPr="0086735D" w14:paraId="4FFC13AA" w14:textId="77777777" w:rsidTr="00B97EAE">
        <w:tc>
          <w:tcPr>
            <w:tcW w:w="1838" w:type="pct"/>
          </w:tcPr>
          <w:p w14:paraId="1B5CF822" w14:textId="25648934" w:rsidR="0024783D" w:rsidRPr="00BF17B2" w:rsidRDefault="0024783D" w:rsidP="0024783D">
            <w:r w:rsidRPr="00845F73">
              <w:rPr>
                <w:rFonts w:cstheme="minorHAnsi"/>
              </w:rPr>
              <w:t>Change in Trend, β</w:t>
            </w:r>
            <w:r w:rsidRPr="00845F73">
              <w:rPr>
                <w:rFonts w:cstheme="minorHAnsi"/>
                <w:vertAlign w:val="subscript"/>
              </w:rPr>
              <w:t>3</w:t>
            </w:r>
          </w:p>
        </w:tc>
        <w:tc>
          <w:tcPr>
            <w:tcW w:w="1589" w:type="pct"/>
          </w:tcPr>
          <w:p w14:paraId="58A7F762" w14:textId="3F310B43" w:rsidR="0024783D" w:rsidRPr="00845F73" w:rsidRDefault="0024783D" w:rsidP="0024783D">
            <w:pPr>
              <w:jc w:val="center"/>
              <w:rPr>
                <w:rFonts w:cstheme="minorHAnsi"/>
              </w:rPr>
            </w:pPr>
            <w:r>
              <w:rPr>
                <w:rFonts w:cstheme="minorHAnsi"/>
              </w:rPr>
              <w:t>-5.47 (-6.52, -4.43)</w:t>
            </w:r>
          </w:p>
        </w:tc>
        <w:tc>
          <w:tcPr>
            <w:tcW w:w="987" w:type="pct"/>
          </w:tcPr>
          <w:p w14:paraId="3ECA4BEF" w14:textId="48F5745C" w:rsidR="0024783D" w:rsidRPr="00845F73" w:rsidRDefault="0024783D" w:rsidP="0024783D">
            <w:pPr>
              <w:jc w:val="center"/>
              <w:rPr>
                <w:rFonts w:cstheme="minorHAnsi"/>
              </w:rPr>
            </w:pPr>
            <w:r>
              <w:rPr>
                <w:rFonts w:cstheme="minorHAnsi"/>
              </w:rPr>
              <w:t>0.52</w:t>
            </w:r>
          </w:p>
        </w:tc>
        <w:tc>
          <w:tcPr>
            <w:tcW w:w="586" w:type="pct"/>
          </w:tcPr>
          <w:p w14:paraId="71CFE7CA" w14:textId="0925636C" w:rsidR="0024783D" w:rsidRPr="00845F73" w:rsidRDefault="0024783D" w:rsidP="0024783D">
            <w:pPr>
              <w:jc w:val="center"/>
              <w:rPr>
                <w:rFonts w:cstheme="minorHAnsi"/>
              </w:rPr>
            </w:pPr>
            <w:r>
              <w:rPr>
                <w:rFonts w:cstheme="minorHAnsi"/>
              </w:rPr>
              <w:t>&lt;0.01</w:t>
            </w:r>
          </w:p>
        </w:tc>
      </w:tr>
      <w:tr w:rsidR="0024783D" w:rsidRPr="0086735D" w14:paraId="7A4162F1" w14:textId="77777777" w:rsidTr="00B97EAE">
        <w:trPr>
          <w:cnfStyle w:val="000000100000" w:firstRow="0" w:lastRow="0" w:firstColumn="0" w:lastColumn="0" w:oddVBand="0" w:evenVBand="0" w:oddHBand="1" w:evenHBand="0" w:firstRowFirstColumn="0" w:firstRowLastColumn="0" w:lastRowFirstColumn="0" w:lastRowLastColumn="0"/>
        </w:trPr>
        <w:tc>
          <w:tcPr>
            <w:tcW w:w="1838" w:type="pct"/>
          </w:tcPr>
          <w:p w14:paraId="15E70D82" w14:textId="1CF05B0C" w:rsidR="0024783D" w:rsidRPr="00BF17B2" w:rsidRDefault="0024783D" w:rsidP="0024783D">
            <w:r w:rsidRPr="00845F73">
              <w:rPr>
                <w:rFonts w:cstheme="minorHAnsi"/>
                <w:bCs/>
              </w:rPr>
              <w:t xml:space="preserve">Post-Intervention Trend, </w:t>
            </w:r>
            <w:r w:rsidRPr="00845F73">
              <w:rPr>
                <w:rFonts w:cstheme="minorHAnsi"/>
              </w:rPr>
              <w:t>β</w:t>
            </w:r>
            <w:r w:rsidRPr="00845F73">
              <w:rPr>
                <w:rFonts w:cstheme="minorHAnsi"/>
                <w:vertAlign w:val="subscript"/>
              </w:rPr>
              <w:t>1+3</w:t>
            </w:r>
          </w:p>
        </w:tc>
        <w:tc>
          <w:tcPr>
            <w:tcW w:w="1589" w:type="pct"/>
          </w:tcPr>
          <w:p w14:paraId="5BFDEDEC" w14:textId="06D77E6E" w:rsidR="0024783D" w:rsidRPr="00845F73" w:rsidRDefault="0024783D" w:rsidP="0024783D">
            <w:pPr>
              <w:jc w:val="center"/>
              <w:rPr>
                <w:rFonts w:cstheme="minorHAnsi"/>
              </w:rPr>
            </w:pPr>
            <w:r>
              <w:rPr>
                <w:rFonts w:cstheme="minorHAnsi"/>
              </w:rPr>
              <w:t>-1.15 (-1.67, -0.62)</w:t>
            </w:r>
          </w:p>
        </w:tc>
        <w:tc>
          <w:tcPr>
            <w:tcW w:w="987" w:type="pct"/>
          </w:tcPr>
          <w:p w14:paraId="379D4B54" w14:textId="4943161D" w:rsidR="0024783D" w:rsidRPr="00845F73" w:rsidRDefault="0024783D" w:rsidP="0024783D">
            <w:pPr>
              <w:jc w:val="center"/>
              <w:rPr>
                <w:rFonts w:cstheme="minorHAnsi"/>
              </w:rPr>
            </w:pPr>
            <w:r>
              <w:rPr>
                <w:rFonts w:cstheme="minorHAnsi"/>
              </w:rPr>
              <w:t>0.26</w:t>
            </w:r>
          </w:p>
        </w:tc>
        <w:tc>
          <w:tcPr>
            <w:tcW w:w="586" w:type="pct"/>
          </w:tcPr>
          <w:p w14:paraId="285FB221" w14:textId="4A1BE6FF" w:rsidR="0024783D" w:rsidRPr="00845F73" w:rsidRDefault="0024783D" w:rsidP="0024783D">
            <w:pPr>
              <w:jc w:val="center"/>
              <w:rPr>
                <w:rFonts w:cstheme="minorHAnsi"/>
              </w:rPr>
            </w:pPr>
            <w:r>
              <w:rPr>
                <w:rFonts w:cstheme="minorHAnsi"/>
              </w:rPr>
              <w:t>&lt;0.01</w:t>
            </w:r>
          </w:p>
        </w:tc>
      </w:tr>
      <w:tr w:rsidR="0024783D" w:rsidRPr="0086735D" w14:paraId="2AE8CF3C" w14:textId="77777777" w:rsidTr="00B97EAE">
        <w:tc>
          <w:tcPr>
            <w:tcW w:w="1838" w:type="pct"/>
          </w:tcPr>
          <w:p w14:paraId="4A847E41" w14:textId="4EE65533" w:rsidR="0024783D" w:rsidRPr="00BF17B2" w:rsidRDefault="00DB4509" w:rsidP="0024783D">
            <w:r w:rsidRPr="00845F73">
              <w:rPr>
                <w:rFonts w:cstheme="minorHAnsi"/>
                <w:bCs/>
              </w:rPr>
              <w:t xml:space="preserve">Relative </w:t>
            </w:r>
            <w:r>
              <w:rPr>
                <w:rFonts w:cstheme="minorHAnsi"/>
                <w:bCs/>
              </w:rPr>
              <w:t>Change</w:t>
            </w:r>
            <w:r w:rsidRPr="00845F73">
              <w:rPr>
                <w:rFonts w:cstheme="minorHAnsi"/>
                <w:bCs/>
              </w:rPr>
              <w:t>, %</w:t>
            </w:r>
            <w:r>
              <w:rPr>
                <w:rFonts w:cstheme="minorHAnsi"/>
                <w:bCs/>
                <w:vertAlign w:val="superscript"/>
              </w:rPr>
              <w:t>a</w:t>
            </w:r>
          </w:p>
        </w:tc>
        <w:tc>
          <w:tcPr>
            <w:tcW w:w="1589" w:type="pct"/>
          </w:tcPr>
          <w:p w14:paraId="57EC51C3" w14:textId="13A26F39" w:rsidR="0024783D" w:rsidRPr="00845F73" w:rsidRDefault="0024783D" w:rsidP="0024783D">
            <w:pPr>
              <w:jc w:val="center"/>
              <w:rPr>
                <w:rFonts w:cstheme="minorHAnsi"/>
              </w:rPr>
            </w:pPr>
            <w:r>
              <w:rPr>
                <w:rFonts w:cstheme="minorHAnsi"/>
              </w:rPr>
              <w:t>-31.64 (-35.</w:t>
            </w:r>
            <w:r w:rsidR="000964F5">
              <w:rPr>
                <w:rFonts w:cstheme="minorHAnsi"/>
              </w:rPr>
              <w:t>3</w:t>
            </w:r>
            <w:r>
              <w:rPr>
                <w:rFonts w:cstheme="minorHAnsi"/>
              </w:rPr>
              <w:t>3, -26.8</w:t>
            </w:r>
            <w:r w:rsidR="00A273C8">
              <w:rPr>
                <w:rFonts w:cstheme="minorHAnsi"/>
              </w:rPr>
              <w:t>3</w:t>
            </w:r>
            <w:r>
              <w:rPr>
                <w:rFonts w:cstheme="minorHAnsi"/>
              </w:rPr>
              <w:t>)</w:t>
            </w:r>
          </w:p>
        </w:tc>
        <w:tc>
          <w:tcPr>
            <w:tcW w:w="987" w:type="pct"/>
          </w:tcPr>
          <w:p w14:paraId="200990FD" w14:textId="074AFBD9" w:rsidR="0024783D" w:rsidRPr="00845F73" w:rsidRDefault="0024783D" w:rsidP="0024783D">
            <w:pPr>
              <w:jc w:val="center"/>
              <w:rPr>
                <w:rFonts w:cstheme="minorHAnsi"/>
              </w:rPr>
            </w:pPr>
            <w:r>
              <w:rPr>
                <w:rFonts w:cstheme="minorHAnsi"/>
              </w:rPr>
              <w:t>n/a</w:t>
            </w:r>
          </w:p>
        </w:tc>
        <w:tc>
          <w:tcPr>
            <w:tcW w:w="586" w:type="pct"/>
          </w:tcPr>
          <w:p w14:paraId="2A0C0A03" w14:textId="62AC55C6" w:rsidR="0024783D" w:rsidRPr="00845F73" w:rsidRDefault="0024783D" w:rsidP="0024783D">
            <w:pPr>
              <w:jc w:val="center"/>
              <w:rPr>
                <w:rFonts w:cstheme="minorHAnsi"/>
              </w:rPr>
            </w:pPr>
            <w:r>
              <w:rPr>
                <w:rFonts w:cstheme="minorHAnsi"/>
              </w:rPr>
              <w:t>n/a</w:t>
            </w:r>
          </w:p>
        </w:tc>
      </w:tr>
      <w:tr w:rsidR="0024783D" w:rsidRPr="0086735D" w14:paraId="244371CA" w14:textId="77777777" w:rsidTr="00B97EAE">
        <w:trPr>
          <w:cnfStyle w:val="000000100000" w:firstRow="0" w:lastRow="0" w:firstColumn="0" w:lastColumn="0" w:oddVBand="0" w:evenVBand="0" w:oddHBand="1" w:evenHBand="0" w:firstRowFirstColumn="0" w:firstRowLastColumn="0" w:lastRowFirstColumn="0" w:lastRowLastColumn="0"/>
        </w:trPr>
        <w:tc>
          <w:tcPr>
            <w:tcW w:w="1838" w:type="pct"/>
          </w:tcPr>
          <w:p w14:paraId="594361EA" w14:textId="28428D21" w:rsidR="0024783D" w:rsidRPr="00BF17B2" w:rsidRDefault="0024783D" w:rsidP="0024783D">
            <w:r w:rsidRPr="00845F73">
              <w:rPr>
                <w:rFonts w:cstheme="minorHAnsi"/>
                <w:bCs/>
              </w:rPr>
              <w:t>Durbin-Watson Statistic</w:t>
            </w:r>
          </w:p>
        </w:tc>
        <w:tc>
          <w:tcPr>
            <w:tcW w:w="1589" w:type="pct"/>
          </w:tcPr>
          <w:p w14:paraId="09103C28" w14:textId="641ADB92" w:rsidR="0024783D" w:rsidRPr="00845F73" w:rsidRDefault="0024783D" w:rsidP="0024783D">
            <w:pPr>
              <w:jc w:val="center"/>
              <w:rPr>
                <w:rFonts w:cstheme="minorHAnsi"/>
              </w:rPr>
            </w:pPr>
            <w:r>
              <w:rPr>
                <w:rFonts w:cstheme="minorHAnsi"/>
              </w:rPr>
              <w:t>1.62</w:t>
            </w:r>
          </w:p>
        </w:tc>
        <w:tc>
          <w:tcPr>
            <w:tcW w:w="987" w:type="pct"/>
          </w:tcPr>
          <w:p w14:paraId="4EE07E75" w14:textId="367900F1" w:rsidR="0024783D" w:rsidRPr="00845F73" w:rsidRDefault="0024783D" w:rsidP="0024783D">
            <w:pPr>
              <w:jc w:val="center"/>
              <w:rPr>
                <w:rFonts w:cstheme="minorHAnsi"/>
              </w:rPr>
            </w:pPr>
            <w:r>
              <w:rPr>
                <w:rFonts w:cstheme="minorHAnsi"/>
              </w:rPr>
              <w:t>n/a</w:t>
            </w:r>
          </w:p>
        </w:tc>
        <w:tc>
          <w:tcPr>
            <w:tcW w:w="586" w:type="pct"/>
          </w:tcPr>
          <w:p w14:paraId="156023A0" w14:textId="5B25E2A2" w:rsidR="0024783D" w:rsidRPr="00845F73" w:rsidRDefault="0024783D" w:rsidP="0024783D">
            <w:pPr>
              <w:jc w:val="center"/>
              <w:rPr>
                <w:rFonts w:cstheme="minorHAnsi"/>
              </w:rPr>
            </w:pPr>
            <w:r>
              <w:rPr>
                <w:rFonts w:cstheme="minorHAnsi"/>
              </w:rPr>
              <w:t>n/a</w:t>
            </w:r>
          </w:p>
        </w:tc>
      </w:tr>
      <w:tr w:rsidR="0024783D" w:rsidRPr="0086735D" w14:paraId="1DFC778C" w14:textId="77777777" w:rsidTr="00B97EAE">
        <w:tc>
          <w:tcPr>
            <w:tcW w:w="5000" w:type="pct"/>
            <w:gridSpan w:val="4"/>
          </w:tcPr>
          <w:p w14:paraId="78B6F5B1" w14:textId="11A0AABD" w:rsidR="0024783D" w:rsidRPr="00845F73" w:rsidRDefault="0024783D" w:rsidP="0024783D">
            <w:pPr>
              <w:rPr>
                <w:rFonts w:cstheme="minorHAnsi"/>
              </w:rPr>
            </w:pPr>
            <w:r w:rsidRPr="00E122D3">
              <w:rPr>
                <w:b/>
                <w:bCs/>
              </w:rPr>
              <w:t>50-69 years</w:t>
            </w:r>
          </w:p>
        </w:tc>
      </w:tr>
      <w:tr w:rsidR="0024783D" w:rsidRPr="0086735D" w14:paraId="5F66BF7C" w14:textId="77777777" w:rsidTr="00B97EAE">
        <w:trPr>
          <w:cnfStyle w:val="000000100000" w:firstRow="0" w:lastRow="0" w:firstColumn="0" w:lastColumn="0" w:oddVBand="0" w:evenVBand="0" w:oddHBand="1" w:evenHBand="0" w:firstRowFirstColumn="0" w:firstRowLastColumn="0" w:lastRowFirstColumn="0" w:lastRowLastColumn="0"/>
        </w:trPr>
        <w:tc>
          <w:tcPr>
            <w:tcW w:w="1838" w:type="pct"/>
          </w:tcPr>
          <w:p w14:paraId="1B0EFAE1" w14:textId="6DEEB4E1" w:rsidR="0024783D" w:rsidRPr="00BF17B2" w:rsidRDefault="0024783D" w:rsidP="0024783D">
            <w:r w:rsidRPr="00845F73">
              <w:rPr>
                <w:rFonts w:cstheme="minorHAnsi"/>
              </w:rPr>
              <w:t>Intercept, β</w:t>
            </w:r>
            <w:r w:rsidRPr="00845F73">
              <w:rPr>
                <w:rFonts w:cstheme="minorHAnsi"/>
                <w:vertAlign w:val="subscript"/>
              </w:rPr>
              <w:t>0</w:t>
            </w:r>
          </w:p>
        </w:tc>
        <w:tc>
          <w:tcPr>
            <w:tcW w:w="1589" w:type="pct"/>
          </w:tcPr>
          <w:p w14:paraId="28BB592A" w14:textId="66F683AC" w:rsidR="0024783D" w:rsidRPr="00845F73" w:rsidRDefault="0024783D" w:rsidP="0024783D">
            <w:pPr>
              <w:jc w:val="center"/>
              <w:rPr>
                <w:rFonts w:cstheme="minorHAnsi"/>
              </w:rPr>
            </w:pPr>
            <w:r>
              <w:rPr>
                <w:rFonts w:cstheme="minorHAnsi"/>
              </w:rPr>
              <w:t>393.82 (382.24, 405.40)</w:t>
            </w:r>
          </w:p>
        </w:tc>
        <w:tc>
          <w:tcPr>
            <w:tcW w:w="987" w:type="pct"/>
          </w:tcPr>
          <w:p w14:paraId="365873EB" w14:textId="4F11C162" w:rsidR="0024783D" w:rsidRPr="00845F73" w:rsidRDefault="0024783D" w:rsidP="0024783D">
            <w:pPr>
              <w:jc w:val="center"/>
              <w:rPr>
                <w:rFonts w:cstheme="minorHAnsi"/>
              </w:rPr>
            </w:pPr>
            <w:r>
              <w:rPr>
                <w:rFonts w:cstheme="minorHAnsi"/>
              </w:rPr>
              <w:t>5.72</w:t>
            </w:r>
          </w:p>
        </w:tc>
        <w:tc>
          <w:tcPr>
            <w:tcW w:w="586" w:type="pct"/>
          </w:tcPr>
          <w:p w14:paraId="7A63BD6C" w14:textId="1C747BBC" w:rsidR="0024783D" w:rsidRPr="00845F73" w:rsidRDefault="0024783D" w:rsidP="0024783D">
            <w:pPr>
              <w:jc w:val="center"/>
              <w:rPr>
                <w:rFonts w:cstheme="minorHAnsi"/>
              </w:rPr>
            </w:pPr>
            <w:r>
              <w:rPr>
                <w:rFonts w:cstheme="minorHAnsi"/>
              </w:rPr>
              <w:t>&lt;0.01</w:t>
            </w:r>
          </w:p>
        </w:tc>
      </w:tr>
      <w:tr w:rsidR="0024783D" w:rsidRPr="0086735D" w14:paraId="707954A5" w14:textId="77777777" w:rsidTr="00B97EAE">
        <w:tc>
          <w:tcPr>
            <w:tcW w:w="1838" w:type="pct"/>
          </w:tcPr>
          <w:p w14:paraId="22E13B96" w14:textId="799E1917" w:rsidR="0024783D" w:rsidRPr="00BF17B2" w:rsidRDefault="0024783D" w:rsidP="0024783D">
            <w:r w:rsidRPr="00845F73">
              <w:rPr>
                <w:rFonts w:cstheme="minorHAnsi"/>
              </w:rPr>
              <w:t>Pre-Intervention Trend, β</w:t>
            </w:r>
            <w:r w:rsidRPr="00845F73">
              <w:rPr>
                <w:rFonts w:cstheme="minorHAnsi"/>
                <w:vertAlign w:val="subscript"/>
              </w:rPr>
              <w:t>1</w:t>
            </w:r>
          </w:p>
        </w:tc>
        <w:tc>
          <w:tcPr>
            <w:tcW w:w="1589" w:type="pct"/>
          </w:tcPr>
          <w:p w14:paraId="35B7BD90" w14:textId="77ABEAE7" w:rsidR="0024783D" w:rsidRPr="00845F73" w:rsidRDefault="0024783D" w:rsidP="0024783D">
            <w:pPr>
              <w:jc w:val="center"/>
              <w:rPr>
                <w:rFonts w:cstheme="minorHAnsi"/>
              </w:rPr>
            </w:pPr>
            <w:r>
              <w:rPr>
                <w:rFonts w:cstheme="minorHAnsi"/>
              </w:rPr>
              <w:t>2.94 (1.74, 4.14)</w:t>
            </w:r>
          </w:p>
        </w:tc>
        <w:tc>
          <w:tcPr>
            <w:tcW w:w="987" w:type="pct"/>
          </w:tcPr>
          <w:p w14:paraId="64F00F82" w14:textId="2C34A650" w:rsidR="0024783D" w:rsidRPr="00845F73" w:rsidRDefault="0024783D" w:rsidP="0024783D">
            <w:pPr>
              <w:jc w:val="center"/>
              <w:rPr>
                <w:rFonts w:cstheme="minorHAnsi"/>
              </w:rPr>
            </w:pPr>
            <w:r>
              <w:rPr>
                <w:rFonts w:cstheme="minorHAnsi"/>
              </w:rPr>
              <w:t>0.59</w:t>
            </w:r>
          </w:p>
        </w:tc>
        <w:tc>
          <w:tcPr>
            <w:tcW w:w="586" w:type="pct"/>
          </w:tcPr>
          <w:p w14:paraId="688FD207" w14:textId="12B6275D" w:rsidR="0024783D" w:rsidRPr="00845F73" w:rsidRDefault="0024783D" w:rsidP="0024783D">
            <w:pPr>
              <w:jc w:val="center"/>
              <w:rPr>
                <w:rFonts w:cstheme="minorHAnsi"/>
              </w:rPr>
            </w:pPr>
            <w:r>
              <w:rPr>
                <w:rFonts w:cstheme="minorHAnsi"/>
              </w:rPr>
              <w:t>&lt;0.01</w:t>
            </w:r>
          </w:p>
        </w:tc>
      </w:tr>
      <w:tr w:rsidR="0024783D" w:rsidRPr="0086735D" w14:paraId="27BF835E" w14:textId="77777777" w:rsidTr="00B97EAE">
        <w:trPr>
          <w:cnfStyle w:val="000000100000" w:firstRow="0" w:lastRow="0" w:firstColumn="0" w:lastColumn="0" w:oddVBand="0" w:evenVBand="0" w:oddHBand="1" w:evenHBand="0" w:firstRowFirstColumn="0" w:firstRowLastColumn="0" w:lastRowFirstColumn="0" w:lastRowLastColumn="0"/>
        </w:trPr>
        <w:tc>
          <w:tcPr>
            <w:tcW w:w="1838" w:type="pct"/>
            <w:vAlign w:val="center"/>
          </w:tcPr>
          <w:p w14:paraId="17E740E6" w14:textId="41358336" w:rsidR="0024783D" w:rsidRPr="00BF17B2" w:rsidRDefault="0024783D" w:rsidP="0024783D">
            <w:r w:rsidRPr="00845F73">
              <w:rPr>
                <w:rFonts w:cstheme="minorHAnsi"/>
              </w:rPr>
              <w:t>Change in Level, β</w:t>
            </w:r>
            <w:r w:rsidRPr="00845F73">
              <w:rPr>
                <w:rFonts w:cstheme="minorHAnsi"/>
                <w:vertAlign w:val="subscript"/>
              </w:rPr>
              <w:t>2</w:t>
            </w:r>
          </w:p>
        </w:tc>
        <w:tc>
          <w:tcPr>
            <w:tcW w:w="1589" w:type="pct"/>
          </w:tcPr>
          <w:p w14:paraId="1DB16B42" w14:textId="3C785A48" w:rsidR="0024783D" w:rsidRPr="00845F73" w:rsidRDefault="0024783D" w:rsidP="0024783D">
            <w:pPr>
              <w:jc w:val="center"/>
              <w:rPr>
                <w:rFonts w:cstheme="minorHAnsi"/>
              </w:rPr>
            </w:pPr>
            <w:r>
              <w:rPr>
                <w:rFonts w:cstheme="minorHAnsi"/>
              </w:rPr>
              <w:t>4.30 (-9.51, 18.11)</w:t>
            </w:r>
          </w:p>
        </w:tc>
        <w:tc>
          <w:tcPr>
            <w:tcW w:w="987" w:type="pct"/>
          </w:tcPr>
          <w:p w14:paraId="3A6C8331" w14:textId="6AD4AFBC" w:rsidR="0024783D" w:rsidRPr="00845F73" w:rsidRDefault="0024783D" w:rsidP="0024783D">
            <w:pPr>
              <w:jc w:val="center"/>
              <w:rPr>
                <w:rFonts w:cstheme="minorHAnsi"/>
              </w:rPr>
            </w:pPr>
            <w:r>
              <w:rPr>
                <w:rFonts w:cstheme="minorHAnsi"/>
              </w:rPr>
              <w:t>6.82</w:t>
            </w:r>
          </w:p>
        </w:tc>
        <w:tc>
          <w:tcPr>
            <w:tcW w:w="586" w:type="pct"/>
          </w:tcPr>
          <w:p w14:paraId="6FF1BBD3" w14:textId="0359461C" w:rsidR="0024783D" w:rsidRPr="00845F73" w:rsidRDefault="0024783D" w:rsidP="0024783D">
            <w:pPr>
              <w:jc w:val="center"/>
              <w:rPr>
                <w:rFonts w:cstheme="minorHAnsi"/>
              </w:rPr>
            </w:pPr>
            <w:r>
              <w:rPr>
                <w:rFonts w:cstheme="minorHAnsi"/>
              </w:rPr>
              <w:t>0.53</w:t>
            </w:r>
          </w:p>
        </w:tc>
      </w:tr>
      <w:tr w:rsidR="0024783D" w:rsidRPr="0086735D" w14:paraId="04DC342A" w14:textId="77777777" w:rsidTr="00B97EAE">
        <w:tc>
          <w:tcPr>
            <w:tcW w:w="1838" w:type="pct"/>
          </w:tcPr>
          <w:p w14:paraId="26FA3100" w14:textId="3CF79233" w:rsidR="0024783D" w:rsidRPr="00BF17B2" w:rsidRDefault="0024783D" w:rsidP="0024783D">
            <w:r w:rsidRPr="00845F73">
              <w:rPr>
                <w:rFonts w:cstheme="minorHAnsi"/>
              </w:rPr>
              <w:t>Change in Trend, β</w:t>
            </w:r>
            <w:r w:rsidRPr="00845F73">
              <w:rPr>
                <w:rFonts w:cstheme="minorHAnsi"/>
                <w:vertAlign w:val="subscript"/>
              </w:rPr>
              <w:t>3</w:t>
            </w:r>
          </w:p>
        </w:tc>
        <w:tc>
          <w:tcPr>
            <w:tcW w:w="1589" w:type="pct"/>
          </w:tcPr>
          <w:p w14:paraId="6736A051" w14:textId="172FCB51" w:rsidR="0024783D" w:rsidRPr="00845F73" w:rsidRDefault="0024783D" w:rsidP="0024783D">
            <w:pPr>
              <w:jc w:val="center"/>
              <w:rPr>
                <w:rFonts w:cstheme="minorHAnsi"/>
              </w:rPr>
            </w:pPr>
            <w:r>
              <w:rPr>
                <w:rFonts w:cstheme="minorHAnsi"/>
              </w:rPr>
              <w:t>-3.21 (-4.54, -1.88)</w:t>
            </w:r>
          </w:p>
        </w:tc>
        <w:tc>
          <w:tcPr>
            <w:tcW w:w="987" w:type="pct"/>
          </w:tcPr>
          <w:p w14:paraId="35B14308" w14:textId="7E774401" w:rsidR="0024783D" w:rsidRPr="00845F73" w:rsidRDefault="0024783D" w:rsidP="0024783D">
            <w:pPr>
              <w:jc w:val="center"/>
              <w:rPr>
                <w:rFonts w:cstheme="minorHAnsi"/>
              </w:rPr>
            </w:pPr>
            <w:r>
              <w:rPr>
                <w:rFonts w:cstheme="minorHAnsi"/>
              </w:rPr>
              <w:t>0.66</w:t>
            </w:r>
          </w:p>
        </w:tc>
        <w:tc>
          <w:tcPr>
            <w:tcW w:w="586" w:type="pct"/>
          </w:tcPr>
          <w:p w14:paraId="6C654A31" w14:textId="32DDA21B" w:rsidR="0024783D" w:rsidRPr="00845F73" w:rsidRDefault="0024783D" w:rsidP="0024783D">
            <w:pPr>
              <w:jc w:val="center"/>
              <w:rPr>
                <w:rFonts w:cstheme="minorHAnsi"/>
              </w:rPr>
            </w:pPr>
            <w:r>
              <w:rPr>
                <w:rFonts w:cstheme="minorHAnsi"/>
              </w:rPr>
              <w:t>&lt;0.01</w:t>
            </w:r>
          </w:p>
        </w:tc>
      </w:tr>
      <w:tr w:rsidR="0024783D" w:rsidRPr="0086735D" w14:paraId="7BAD1ADC" w14:textId="77777777" w:rsidTr="00B97EAE">
        <w:trPr>
          <w:cnfStyle w:val="000000100000" w:firstRow="0" w:lastRow="0" w:firstColumn="0" w:lastColumn="0" w:oddVBand="0" w:evenVBand="0" w:oddHBand="1" w:evenHBand="0" w:firstRowFirstColumn="0" w:firstRowLastColumn="0" w:lastRowFirstColumn="0" w:lastRowLastColumn="0"/>
        </w:trPr>
        <w:tc>
          <w:tcPr>
            <w:tcW w:w="1838" w:type="pct"/>
          </w:tcPr>
          <w:p w14:paraId="3CFFB878" w14:textId="00B0715E" w:rsidR="0024783D" w:rsidRPr="00BF17B2" w:rsidRDefault="0024783D" w:rsidP="0024783D">
            <w:r w:rsidRPr="00845F73">
              <w:rPr>
                <w:rFonts w:cstheme="minorHAnsi"/>
                <w:bCs/>
              </w:rPr>
              <w:t xml:space="preserve">Post-Intervention Trend, </w:t>
            </w:r>
            <w:r w:rsidRPr="00845F73">
              <w:rPr>
                <w:rFonts w:cstheme="minorHAnsi"/>
              </w:rPr>
              <w:t>β</w:t>
            </w:r>
            <w:r w:rsidRPr="00845F73">
              <w:rPr>
                <w:rFonts w:cstheme="minorHAnsi"/>
                <w:vertAlign w:val="subscript"/>
              </w:rPr>
              <w:t>1+3</w:t>
            </w:r>
          </w:p>
        </w:tc>
        <w:tc>
          <w:tcPr>
            <w:tcW w:w="1589" w:type="pct"/>
          </w:tcPr>
          <w:p w14:paraId="3954A318" w14:textId="17D6C920" w:rsidR="0024783D" w:rsidRPr="00845F73" w:rsidRDefault="0024783D" w:rsidP="0024783D">
            <w:pPr>
              <w:jc w:val="center"/>
              <w:rPr>
                <w:rFonts w:cstheme="minorHAnsi"/>
              </w:rPr>
            </w:pPr>
            <w:r>
              <w:rPr>
                <w:rFonts w:cstheme="minorHAnsi"/>
              </w:rPr>
              <w:t>-0.27 (-0.83, 0.30)</w:t>
            </w:r>
          </w:p>
        </w:tc>
        <w:tc>
          <w:tcPr>
            <w:tcW w:w="987" w:type="pct"/>
          </w:tcPr>
          <w:p w14:paraId="7F019ED7" w14:textId="0DBCD8D0" w:rsidR="0024783D" w:rsidRPr="00845F73" w:rsidRDefault="0024783D" w:rsidP="0024783D">
            <w:pPr>
              <w:jc w:val="center"/>
              <w:rPr>
                <w:rFonts w:cstheme="minorHAnsi"/>
              </w:rPr>
            </w:pPr>
            <w:r>
              <w:rPr>
                <w:rFonts w:cstheme="minorHAnsi"/>
              </w:rPr>
              <w:t>0.27</w:t>
            </w:r>
          </w:p>
        </w:tc>
        <w:tc>
          <w:tcPr>
            <w:tcW w:w="586" w:type="pct"/>
          </w:tcPr>
          <w:p w14:paraId="7C37971C" w14:textId="3A10B84F" w:rsidR="0024783D" w:rsidRPr="00845F73" w:rsidRDefault="0024783D" w:rsidP="0024783D">
            <w:pPr>
              <w:jc w:val="center"/>
              <w:rPr>
                <w:rFonts w:cstheme="minorHAnsi"/>
              </w:rPr>
            </w:pPr>
            <w:r>
              <w:rPr>
                <w:rFonts w:cstheme="minorHAnsi"/>
              </w:rPr>
              <w:t>0.34</w:t>
            </w:r>
          </w:p>
        </w:tc>
      </w:tr>
      <w:tr w:rsidR="0024783D" w:rsidRPr="0086735D" w14:paraId="66A734D8" w14:textId="77777777" w:rsidTr="00B97EAE">
        <w:tc>
          <w:tcPr>
            <w:tcW w:w="1838" w:type="pct"/>
          </w:tcPr>
          <w:p w14:paraId="5B78099C" w14:textId="65DA9654" w:rsidR="0024783D" w:rsidRPr="00BF17B2" w:rsidRDefault="00DB4509" w:rsidP="0024783D">
            <w:r w:rsidRPr="00845F73">
              <w:rPr>
                <w:rFonts w:cstheme="minorHAnsi"/>
                <w:bCs/>
              </w:rPr>
              <w:t xml:space="preserve">Relative </w:t>
            </w:r>
            <w:r>
              <w:rPr>
                <w:rFonts w:cstheme="minorHAnsi"/>
                <w:bCs/>
              </w:rPr>
              <w:t>Change</w:t>
            </w:r>
            <w:r w:rsidRPr="00845F73">
              <w:rPr>
                <w:rFonts w:cstheme="minorHAnsi"/>
                <w:bCs/>
              </w:rPr>
              <w:t>, %</w:t>
            </w:r>
            <w:r>
              <w:rPr>
                <w:rFonts w:cstheme="minorHAnsi"/>
                <w:bCs/>
                <w:vertAlign w:val="superscript"/>
              </w:rPr>
              <w:t>a</w:t>
            </w:r>
          </w:p>
        </w:tc>
        <w:tc>
          <w:tcPr>
            <w:tcW w:w="1589" w:type="pct"/>
          </w:tcPr>
          <w:p w14:paraId="27158CB3" w14:textId="6BA8BFE2" w:rsidR="0024783D" w:rsidRPr="00845F73" w:rsidRDefault="0024783D" w:rsidP="0024783D">
            <w:pPr>
              <w:jc w:val="center"/>
              <w:rPr>
                <w:rFonts w:cstheme="minorHAnsi"/>
              </w:rPr>
            </w:pPr>
            <w:r>
              <w:rPr>
                <w:rFonts w:cstheme="minorHAnsi"/>
              </w:rPr>
              <w:t>-15.29 (-21.</w:t>
            </w:r>
            <w:r w:rsidR="002A6D9C">
              <w:rPr>
                <w:rFonts w:cstheme="minorHAnsi"/>
              </w:rPr>
              <w:t>25</w:t>
            </w:r>
            <w:r>
              <w:rPr>
                <w:rFonts w:cstheme="minorHAnsi"/>
              </w:rPr>
              <w:t>, -6.</w:t>
            </w:r>
            <w:r w:rsidR="00330C36">
              <w:rPr>
                <w:rFonts w:cstheme="minorHAnsi"/>
              </w:rPr>
              <w:t>53</w:t>
            </w:r>
            <w:r>
              <w:rPr>
                <w:rFonts w:cstheme="minorHAnsi"/>
              </w:rPr>
              <w:t>)</w:t>
            </w:r>
          </w:p>
        </w:tc>
        <w:tc>
          <w:tcPr>
            <w:tcW w:w="987" w:type="pct"/>
          </w:tcPr>
          <w:p w14:paraId="00C37F81" w14:textId="2F663E64" w:rsidR="0024783D" w:rsidRPr="00845F73" w:rsidRDefault="0024783D" w:rsidP="0024783D">
            <w:pPr>
              <w:jc w:val="center"/>
              <w:rPr>
                <w:rFonts w:cstheme="minorHAnsi"/>
              </w:rPr>
            </w:pPr>
            <w:r>
              <w:rPr>
                <w:rFonts w:cstheme="minorHAnsi"/>
              </w:rPr>
              <w:t>n/a</w:t>
            </w:r>
          </w:p>
        </w:tc>
        <w:tc>
          <w:tcPr>
            <w:tcW w:w="586" w:type="pct"/>
          </w:tcPr>
          <w:p w14:paraId="66FF2E7C" w14:textId="00744B76" w:rsidR="0024783D" w:rsidRPr="00845F73" w:rsidRDefault="0024783D" w:rsidP="0024783D">
            <w:pPr>
              <w:jc w:val="center"/>
              <w:rPr>
                <w:rFonts w:cstheme="minorHAnsi"/>
              </w:rPr>
            </w:pPr>
            <w:r>
              <w:rPr>
                <w:rFonts w:cstheme="minorHAnsi"/>
              </w:rPr>
              <w:t>n/a</w:t>
            </w:r>
          </w:p>
        </w:tc>
      </w:tr>
      <w:tr w:rsidR="0024783D" w:rsidRPr="0086735D" w14:paraId="5B40A620" w14:textId="77777777" w:rsidTr="00B97EAE">
        <w:trPr>
          <w:cnfStyle w:val="000000100000" w:firstRow="0" w:lastRow="0" w:firstColumn="0" w:lastColumn="0" w:oddVBand="0" w:evenVBand="0" w:oddHBand="1" w:evenHBand="0" w:firstRowFirstColumn="0" w:firstRowLastColumn="0" w:lastRowFirstColumn="0" w:lastRowLastColumn="0"/>
        </w:trPr>
        <w:tc>
          <w:tcPr>
            <w:tcW w:w="1838" w:type="pct"/>
          </w:tcPr>
          <w:p w14:paraId="0DB031B0" w14:textId="0ACE0840" w:rsidR="0024783D" w:rsidRPr="00BF17B2" w:rsidRDefault="0024783D" w:rsidP="0024783D">
            <w:r w:rsidRPr="00845F73">
              <w:rPr>
                <w:rFonts w:cstheme="minorHAnsi"/>
                <w:bCs/>
              </w:rPr>
              <w:t>Durbin-Watson Statistic</w:t>
            </w:r>
          </w:p>
        </w:tc>
        <w:tc>
          <w:tcPr>
            <w:tcW w:w="1589" w:type="pct"/>
          </w:tcPr>
          <w:p w14:paraId="3B6EF000" w14:textId="082200CA" w:rsidR="0024783D" w:rsidRPr="00845F73" w:rsidRDefault="0024783D" w:rsidP="0024783D">
            <w:pPr>
              <w:jc w:val="center"/>
              <w:rPr>
                <w:rFonts w:cstheme="minorHAnsi"/>
              </w:rPr>
            </w:pPr>
            <w:r>
              <w:rPr>
                <w:rFonts w:cstheme="minorHAnsi"/>
              </w:rPr>
              <w:t>2.43</w:t>
            </w:r>
          </w:p>
        </w:tc>
        <w:tc>
          <w:tcPr>
            <w:tcW w:w="987" w:type="pct"/>
          </w:tcPr>
          <w:p w14:paraId="29FA04C8" w14:textId="087FAC23" w:rsidR="0024783D" w:rsidRPr="00845F73" w:rsidRDefault="0024783D" w:rsidP="0024783D">
            <w:pPr>
              <w:jc w:val="center"/>
              <w:rPr>
                <w:rFonts w:cstheme="minorHAnsi"/>
              </w:rPr>
            </w:pPr>
            <w:r>
              <w:rPr>
                <w:rFonts w:cstheme="minorHAnsi"/>
              </w:rPr>
              <w:t>n/a</w:t>
            </w:r>
          </w:p>
        </w:tc>
        <w:tc>
          <w:tcPr>
            <w:tcW w:w="586" w:type="pct"/>
          </w:tcPr>
          <w:p w14:paraId="77964777" w14:textId="24FB6C05" w:rsidR="0024783D" w:rsidRPr="00845F73" w:rsidRDefault="0024783D" w:rsidP="0024783D">
            <w:pPr>
              <w:jc w:val="center"/>
              <w:rPr>
                <w:rFonts w:cstheme="minorHAnsi"/>
              </w:rPr>
            </w:pPr>
            <w:r>
              <w:rPr>
                <w:rFonts w:cstheme="minorHAnsi"/>
              </w:rPr>
              <w:t>n/a</w:t>
            </w:r>
          </w:p>
        </w:tc>
      </w:tr>
      <w:tr w:rsidR="0024783D" w:rsidRPr="0086735D" w14:paraId="48912CCE" w14:textId="77777777" w:rsidTr="00B97EAE">
        <w:tc>
          <w:tcPr>
            <w:tcW w:w="5000" w:type="pct"/>
            <w:gridSpan w:val="4"/>
          </w:tcPr>
          <w:p w14:paraId="174837CB" w14:textId="42B76171" w:rsidR="0024783D" w:rsidRPr="00845F73" w:rsidRDefault="0024783D" w:rsidP="0024783D">
            <w:pPr>
              <w:rPr>
                <w:rFonts w:cstheme="minorHAnsi"/>
              </w:rPr>
            </w:pPr>
            <w:r w:rsidRPr="00E122D3">
              <w:rPr>
                <w:b/>
                <w:bCs/>
              </w:rPr>
              <w:t>70+</w:t>
            </w:r>
          </w:p>
        </w:tc>
      </w:tr>
      <w:tr w:rsidR="0024783D" w:rsidRPr="0086735D" w14:paraId="7DAB1068" w14:textId="77777777" w:rsidTr="00B97EAE">
        <w:trPr>
          <w:cnfStyle w:val="000000100000" w:firstRow="0" w:lastRow="0" w:firstColumn="0" w:lastColumn="0" w:oddVBand="0" w:evenVBand="0" w:oddHBand="1" w:evenHBand="0" w:firstRowFirstColumn="0" w:firstRowLastColumn="0" w:lastRowFirstColumn="0" w:lastRowLastColumn="0"/>
        </w:trPr>
        <w:tc>
          <w:tcPr>
            <w:tcW w:w="1838" w:type="pct"/>
          </w:tcPr>
          <w:p w14:paraId="09C1E893" w14:textId="645E12F0" w:rsidR="0024783D" w:rsidRPr="00BF17B2" w:rsidRDefault="0024783D" w:rsidP="0024783D">
            <w:r w:rsidRPr="00845F73">
              <w:rPr>
                <w:rFonts w:cstheme="minorHAnsi"/>
              </w:rPr>
              <w:t>Intercept, β</w:t>
            </w:r>
            <w:r w:rsidRPr="00845F73">
              <w:rPr>
                <w:rFonts w:cstheme="minorHAnsi"/>
                <w:vertAlign w:val="subscript"/>
              </w:rPr>
              <w:t>0</w:t>
            </w:r>
          </w:p>
        </w:tc>
        <w:tc>
          <w:tcPr>
            <w:tcW w:w="1589" w:type="pct"/>
          </w:tcPr>
          <w:p w14:paraId="6F040E1D" w14:textId="6C0307BC" w:rsidR="0024783D" w:rsidRPr="00845F73" w:rsidRDefault="0024783D" w:rsidP="0024783D">
            <w:pPr>
              <w:jc w:val="center"/>
              <w:rPr>
                <w:rFonts w:cstheme="minorHAnsi"/>
              </w:rPr>
            </w:pPr>
            <w:r>
              <w:rPr>
                <w:rFonts w:cstheme="minorHAnsi"/>
              </w:rPr>
              <w:t>599.15 (589.01, 609.28)</w:t>
            </w:r>
          </w:p>
        </w:tc>
        <w:tc>
          <w:tcPr>
            <w:tcW w:w="987" w:type="pct"/>
          </w:tcPr>
          <w:p w14:paraId="099E7004" w14:textId="5DF46B81" w:rsidR="0024783D" w:rsidRPr="00845F73" w:rsidRDefault="0024783D" w:rsidP="0024783D">
            <w:pPr>
              <w:jc w:val="center"/>
              <w:rPr>
                <w:rFonts w:cstheme="minorHAnsi"/>
              </w:rPr>
            </w:pPr>
            <w:r>
              <w:rPr>
                <w:rFonts w:cstheme="minorHAnsi"/>
              </w:rPr>
              <w:t>5.01</w:t>
            </w:r>
          </w:p>
        </w:tc>
        <w:tc>
          <w:tcPr>
            <w:tcW w:w="586" w:type="pct"/>
          </w:tcPr>
          <w:p w14:paraId="1E3BF823" w14:textId="4C6DF819" w:rsidR="0024783D" w:rsidRPr="00845F73" w:rsidRDefault="0024783D" w:rsidP="0024783D">
            <w:pPr>
              <w:jc w:val="center"/>
              <w:rPr>
                <w:rFonts w:cstheme="minorHAnsi"/>
              </w:rPr>
            </w:pPr>
            <w:r>
              <w:rPr>
                <w:rFonts w:cstheme="minorHAnsi"/>
              </w:rPr>
              <w:t>&lt;0.01</w:t>
            </w:r>
          </w:p>
        </w:tc>
      </w:tr>
      <w:tr w:rsidR="0024783D" w:rsidRPr="0086735D" w14:paraId="01DD5EFD" w14:textId="77777777" w:rsidTr="00B97EAE">
        <w:tc>
          <w:tcPr>
            <w:tcW w:w="1838" w:type="pct"/>
          </w:tcPr>
          <w:p w14:paraId="2AF261CF" w14:textId="0809655F" w:rsidR="0024783D" w:rsidRPr="00BF17B2" w:rsidRDefault="0024783D" w:rsidP="0024783D">
            <w:r w:rsidRPr="00845F73">
              <w:rPr>
                <w:rFonts w:cstheme="minorHAnsi"/>
              </w:rPr>
              <w:t>Pre-Intervention Trend, β</w:t>
            </w:r>
            <w:r w:rsidRPr="00845F73">
              <w:rPr>
                <w:rFonts w:cstheme="minorHAnsi"/>
                <w:vertAlign w:val="subscript"/>
              </w:rPr>
              <w:t>1</w:t>
            </w:r>
          </w:p>
        </w:tc>
        <w:tc>
          <w:tcPr>
            <w:tcW w:w="1589" w:type="pct"/>
          </w:tcPr>
          <w:p w14:paraId="2F9EFB39" w14:textId="2D49F3CE" w:rsidR="0024783D" w:rsidRPr="00845F73" w:rsidRDefault="0024783D" w:rsidP="0024783D">
            <w:pPr>
              <w:jc w:val="center"/>
              <w:rPr>
                <w:rFonts w:cstheme="minorHAnsi"/>
              </w:rPr>
            </w:pPr>
            <w:r>
              <w:rPr>
                <w:rFonts w:cstheme="minorHAnsi"/>
              </w:rPr>
              <w:t>0.81 (-0.24, 1.86)</w:t>
            </w:r>
          </w:p>
        </w:tc>
        <w:tc>
          <w:tcPr>
            <w:tcW w:w="987" w:type="pct"/>
          </w:tcPr>
          <w:p w14:paraId="011875F4" w14:textId="7D1A8B3F" w:rsidR="0024783D" w:rsidRPr="00845F73" w:rsidRDefault="0024783D" w:rsidP="0024783D">
            <w:pPr>
              <w:jc w:val="center"/>
              <w:rPr>
                <w:rFonts w:cstheme="minorHAnsi"/>
              </w:rPr>
            </w:pPr>
            <w:r>
              <w:rPr>
                <w:rFonts w:cstheme="minorHAnsi"/>
              </w:rPr>
              <w:t>0.52</w:t>
            </w:r>
          </w:p>
        </w:tc>
        <w:tc>
          <w:tcPr>
            <w:tcW w:w="586" w:type="pct"/>
          </w:tcPr>
          <w:p w14:paraId="2271C69E" w14:textId="78DE6527" w:rsidR="0024783D" w:rsidRPr="00845F73" w:rsidRDefault="0024783D" w:rsidP="0024783D">
            <w:pPr>
              <w:jc w:val="center"/>
              <w:rPr>
                <w:rFonts w:cstheme="minorHAnsi"/>
              </w:rPr>
            </w:pPr>
            <w:r>
              <w:rPr>
                <w:rFonts w:cstheme="minorHAnsi"/>
              </w:rPr>
              <w:t>0.12</w:t>
            </w:r>
          </w:p>
        </w:tc>
      </w:tr>
      <w:tr w:rsidR="0024783D" w:rsidRPr="0086735D" w14:paraId="7B2BA38B" w14:textId="77777777" w:rsidTr="00B97EAE">
        <w:trPr>
          <w:cnfStyle w:val="000000100000" w:firstRow="0" w:lastRow="0" w:firstColumn="0" w:lastColumn="0" w:oddVBand="0" w:evenVBand="0" w:oddHBand="1" w:evenHBand="0" w:firstRowFirstColumn="0" w:firstRowLastColumn="0" w:lastRowFirstColumn="0" w:lastRowLastColumn="0"/>
        </w:trPr>
        <w:tc>
          <w:tcPr>
            <w:tcW w:w="1838" w:type="pct"/>
            <w:vAlign w:val="center"/>
          </w:tcPr>
          <w:p w14:paraId="1F2ECAD7" w14:textId="6B82A6D4" w:rsidR="0024783D" w:rsidRPr="00BF17B2" w:rsidRDefault="0024783D" w:rsidP="0024783D">
            <w:r w:rsidRPr="00845F73">
              <w:rPr>
                <w:rFonts w:cstheme="minorHAnsi"/>
              </w:rPr>
              <w:t>Change in Level, β</w:t>
            </w:r>
            <w:r w:rsidRPr="00845F73">
              <w:rPr>
                <w:rFonts w:cstheme="minorHAnsi"/>
                <w:vertAlign w:val="subscript"/>
              </w:rPr>
              <w:t>2</w:t>
            </w:r>
          </w:p>
        </w:tc>
        <w:tc>
          <w:tcPr>
            <w:tcW w:w="1589" w:type="pct"/>
          </w:tcPr>
          <w:p w14:paraId="612869AD" w14:textId="3DBD1F12" w:rsidR="0024783D" w:rsidRPr="00845F73" w:rsidRDefault="0024783D" w:rsidP="0024783D">
            <w:pPr>
              <w:jc w:val="center"/>
              <w:rPr>
                <w:rFonts w:cstheme="minorHAnsi"/>
              </w:rPr>
            </w:pPr>
            <w:r>
              <w:rPr>
                <w:rFonts w:cstheme="minorHAnsi"/>
              </w:rPr>
              <w:t>13.61 (1.53, 25.70)</w:t>
            </w:r>
          </w:p>
        </w:tc>
        <w:tc>
          <w:tcPr>
            <w:tcW w:w="987" w:type="pct"/>
          </w:tcPr>
          <w:p w14:paraId="666B0E4D" w14:textId="0B831710" w:rsidR="0024783D" w:rsidRPr="00845F73" w:rsidRDefault="0024783D" w:rsidP="0024783D">
            <w:pPr>
              <w:jc w:val="center"/>
              <w:rPr>
                <w:rFonts w:cstheme="minorHAnsi"/>
              </w:rPr>
            </w:pPr>
            <w:r>
              <w:rPr>
                <w:rFonts w:cstheme="minorHAnsi"/>
              </w:rPr>
              <w:t>5.97</w:t>
            </w:r>
          </w:p>
        </w:tc>
        <w:tc>
          <w:tcPr>
            <w:tcW w:w="586" w:type="pct"/>
          </w:tcPr>
          <w:p w14:paraId="341094DD" w14:textId="6AA70C63" w:rsidR="0024783D" w:rsidRPr="00845F73" w:rsidRDefault="0024783D" w:rsidP="0024783D">
            <w:pPr>
              <w:jc w:val="center"/>
              <w:rPr>
                <w:rFonts w:cstheme="minorHAnsi"/>
              </w:rPr>
            </w:pPr>
            <w:r>
              <w:rPr>
                <w:rFonts w:cstheme="minorHAnsi"/>
              </w:rPr>
              <w:t>0.03</w:t>
            </w:r>
          </w:p>
        </w:tc>
      </w:tr>
      <w:tr w:rsidR="0024783D" w:rsidRPr="0086735D" w14:paraId="3C0D8E37" w14:textId="77777777" w:rsidTr="00B97EAE">
        <w:tc>
          <w:tcPr>
            <w:tcW w:w="1838" w:type="pct"/>
          </w:tcPr>
          <w:p w14:paraId="445385B9" w14:textId="0E47117F" w:rsidR="0024783D" w:rsidRPr="00BF17B2" w:rsidRDefault="0024783D" w:rsidP="0024783D">
            <w:r w:rsidRPr="00845F73">
              <w:rPr>
                <w:rFonts w:cstheme="minorHAnsi"/>
              </w:rPr>
              <w:t>Change in Trend, β</w:t>
            </w:r>
            <w:r w:rsidRPr="00845F73">
              <w:rPr>
                <w:rFonts w:cstheme="minorHAnsi"/>
                <w:vertAlign w:val="subscript"/>
              </w:rPr>
              <w:t>3</w:t>
            </w:r>
          </w:p>
        </w:tc>
        <w:tc>
          <w:tcPr>
            <w:tcW w:w="1589" w:type="pct"/>
          </w:tcPr>
          <w:p w14:paraId="533DE372" w14:textId="3B0E1A8B" w:rsidR="0024783D" w:rsidRPr="00845F73" w:rsidRDefault="0024783D" w:rsidP="0024783D">
            <w:pPr>
              <w:jc w:val="center"/>
              <w:rPr>
                <w:rFonts w:cstheme="minorHAnsi"/>
              </w:rPr>
            </w:pPr>
            <w:r>
              <w:rPr>
                <w:rFonts w:cstheme="minorHAnsi"/>
              </w:rPr>
              <w:t>-3.46 (-4.62, -2.29)</w:t>
            </w:r>
          </w:p>
        </w:tc>
        <w:tc>
          <w:tcPr>
            <w:tcW w:w="987" w:type="pct"/>
          </w:tcPr>
          <w:p w14:paraId="084B7312" w14:textId="501D4AC6" w:rsidR="0024783D" w:rsidRPr="00845F73" w:rsidRDefault="0024783D" w:rsidP="0024783D">
            <w:pPr>
              <w:jc w:val="center"/>
              <w:rPr>
                <w:rFonts w:cstheme="minorHAnsi"/>
              </w:rPr>
            </w:pPr>
            <w:r>
              <w:rPr>
                <w:rFonts w:cstheme="minorHAnsi"/>
              </w:rPr>
              <w:t>0.57</w:t>
            </w:r>
          </w:p>
        </w:tc>
        <w:tc>
          <w:tcPr>
            <w:tcW w:w="586" w:type="pct"/>
          </w:tcPr>
          <w:p w14:paraId="518A272B" w14:textId="008D261A" w:rsidR="0024783D" w:rsidRPr="00845F73" w:rsidRDefault="0024783D" w:rsidP="0024783D">
            <w:pPr>
              <w:jc w:val="center"/>
              <w:rPr>
                <w:rFonts w:cstheme="minorHAnsi"/>
              </w:rPr>
            </w:pPr>
            <w:r>
              <w:rPr>
                <w:rFonts w:cstheme="minorHAnsi"/>
              </w:rPr>
              <w:t>&lt;0.01</w:t>
            </w:r>
          </w:p>
        </w:tc>
      </w:tr>
      <w:tr w:rsidR="0024783D" w:rsidRPr="0086735D" w14:paraId="11F1CF2E" w14:textId="77777777" w:rsidTr="00B97EAE">
        <w:trPr>
          <w:cnfStyle w:val="000000100000" w:firstRow="0" w:lastRow="0" w:firstColumn="0" w:lastColumn="0" w:oddVBand="0" w:evenVBand="0" w:oddHBand="1" w:evenHBand="0" w:firstRowFirstColumn="0" w:firstRowLastColumn="0" w:lastRowFirstColumn="0" w:lastRowLastColumn="0"/>
        </w:trPr>
        <w:tc>
          <w:tcPr>
            <w:tcW w:w="1838" w:type="pct"/>
          </w:tcPr>
          <w:p w14:paraId="5632F55E" w14:textId="5776FFFD" w:rsidR="0024783D" w:rsidRPr="00BF17B2" w:rsidRDefault="0024783D" w:rsidP="0024783D">
            <w:r w:rsidRPr="00845F73">
              <w:rPr>
                <w:rFonts w:cstheme="minorHAnsi"/>
                <w:bCs/>
              </w:rPr>
              <w:t xml:space="preserve">Post-Intervention Trend, </w:t>
            </w:r>
            <w:r w:rsidRPr="00845F73">
              <w:rPr>
                <w:rFonts w:cstheme="minorHAnsi"/>
              </w:rPr>
              <w:t>β</w:t>
            </w:r>
            <w:r w:rsidRPr="00845F73">
              <w:rPr>
                <w:rFonts w:cstheme="minorHAnsi"/>
                <w:vertAlign w:val="subscript"/>
              </w:rPr>
              <w:t>1+3</w:t>
            </w:r>
          </w:p>
        </w:tc>
        <w:tc>
          <w:tcPr>
            <w:tcW w:w="1589" w:type="pct"/>
          </w:tcPr>
          <w:p w14:paraId="7BFC0B22" w14:textId="5B5C59AD" w:rsidR="0024783D" w:rsidRPr="00845F73" w:rsidRDefault="0024783D" w:rsidP="0024783D">
            <w:pPr>
              <w:jc w:val="center"/>
              <w:rPr>
                <w:rFonts w:cstheme="minorHAnsi"/>
              </w:rPr>
            </w:pPr>
            <w:r>
              <w:rPr>
                <w:rFonts w:cstheme="minorHAnsi"/>
              </w:rPr>
              <w:t>-2.64 (-3.18, -2.11)</w:t>
            </w:r>
          </w:p>
        </w:tc>
        <w:tc>
          <w:tcPr>
            <w:tcW w:w="987" w:type="pct"/>
          </w:tcPr>
          <w:p w14:paraId="0F441E73" w14:textId="183DCA43" w:rsidR="0024783D" w:rsidRPr="00845F73" w:rsidRDefault="0024783D" w:rsidP="0024783D">
            <w:pPr>
              <w:jc w:val="center"/>
              <w:rPr>
                <w:rFonts w:cstheme="minorHAnsi"/>
              </w:rPr>
            </w:pPr>
            <w:r>
              <w:rPr>
                <w:rFonts w:cstheme="minorHAnsi"/>
              </w:rPr>
              <w:t>0.26</w:t>
            </w:r>
          </w:p>
        </w:tc>
        <w:tc>
          <w:tcPr>
            <w:tcW w:w="586" w:type="pct"/>
          </w:tcPr>
          <w:p w14:paraId="4350E86F" w14:textId="246DD13E" w:rsidR="0024783D" w:rsidRPr="00845F73" w:rsidRDefault="0024783D" w:rsidP="0024783D">
            <w:pPr>
              <w:jc w:val="center"/>
              <w:rPr>
                <w:rFonts w:cstheme="minorHAnsi"/>
              </w:rPr>
            </w:pPr>
            <w:r>
              <w:rPr>
                <w:rFonts w:cstheme="minorHAnsi"/>
              </w:rPr>
              <w:t>&lt;0.01</w:t>
            </w:r>
          </w:p>
        </w:tc>
      </w:tr>
      <w:tr w:rsidR="0024783D" w:rsidRPr="0086735D" w14:paraId="7C287711" w14:textId="77777777" w:rsidTr="00B97EAE">
        <w:tc>
          <w:tcPr>
            <w:tcW w:w="1838" w:type="pct"/>
          </w:tcPr>
          <w:p w14:paraId="1781D323" w14:textId="00808644" w:rsidR="0024783D" w:rsidRPr="00BF17B2" w:rsidRDefault="00DB4509" w:rsidP="0024783D">
            <w:r w:rsidRPr="00845F73">
              <w:rPr>
                <w:rFonts w:cstheme="minorHAnsi"/>
                <w:bCs/>
              </w:rPr>
              <w:t xml:space="preserve">Relative </w:t>
            </w:r>
            <w:r>
              <w:rPr>
                <w:rFonts w:cstheme="minorHAnsi"/>
                <w:bCs/>
              </w:rPr>
              <w:t>Change</w:t>
            </w:r>
            <w:r w:rsidRPr="00845F73">
              <w:rPr>
                <w:rFonts w:cstheme="minorHAnsi"/>
                <w:bCs/>
              </w:rPr>
              <w:t>, %</w:t>
            </w:r>
            <w:r>
              <w:rPr>
                <w:rFonts w:cstheme="minorHAnsi"/>
                <w:bCs/>
                <w:vertAlign w:val="superscript"/>
              </w:rPr>
              <w:t>a</w:t>
            </w:r>
          </w:p>
        </w:tc>
        <w:tc>
          <w:tcPr>
            <w:tcW w:w="1589" w:type="pct"/>
          </w:tcPr>
          <w:p w14:paraId="6A8DA70D" w14:textId="3B69FA9C" w:rsidR="0024783D" w:rsidRPr="00845F73" w:rsidRDefault="0024783D" w:rsidP="0024783D">
            <w:pPr>
              <w:jc w:val="center"/>
              <w:rPr>
                <w:rFonts w:cstheme="minorHAnsi"/>
              </w:rPr>
            </w:pPr>
            <w:r>
              <w:rPr>
                <w:rFonts w:cstheme="minorHAnsi"/>
              </w:rPr>
              <w:t>-12.04 (-16.2</w:t>
            </w:r>
            <w:r w:rsidR="009D716E">
              <w:rPr>
                <w:rFonts w:cstheme="minorHAnsi"/>
              </w:rPr>
              <w:t>0</w:t>
            </w:r>
            <w:r>
              <w:rPr>
                <w:rFonts w:cstheme="minorHAnsi"/>
              </w:rPr>
              <w:t>, -6.3</w:t>
            </w:r>
            <w:r w:rsidR="001112F0">
              <w:rPr>
                <w:rFonts w:cstheme="minorHAnsi"/>
              </w:rPr>
              <w:t>0</w:t>
            </w:r>
            <w:r>
              <w:rPr>
                <w:rFonts w:cstheme="minorHAnsi"/>
              </w:rPr>
              <w:t>)</w:t>
            </w:r>
          </w:p>
        </w:tc>
        <w:tc>
          <w:tcPr>
            <w:tcW w:w="987" w:type="pct"/>
          </w:tcPr>
          <w:p w14:paraId="574E868C" w14:textId="74D09122" w:rsidR="0024783D" w:rsidRPr="00845F73" w:rsidRDefault="0024783D" w:rsidP="0024783D">
            <w:pPr>
              <w:jc w:val="center"/>
              <w:rPr>
                <w:rFonts w:cstheme="minorHAnsi"/>
              </w:rPr>
            </w:pPr>
            <w:r>
              <w:rPr>
                <w:rFonts w:cstheme="minorHAnsi"/>
              </w:rPr>
              <w:t>n/a</w:t>
            </w:r>
          </w:p>
        </w:tc>
        <w:tc>
          <w:tcPr>
            <w:tcW w:w="586" w:type="pct"/>
          </w:tcPr>
          <w:p w14:paraId="7A8C871E" w14:textId="005CC9FB" w:rsidR="0024783D" w:rsidRPr="00845F73" w:rsidRDefault="0024783D" w:rsidP="0024783D">
            <w:pPr>
              <w:jc w:val="center"/>
              <w:rPr>
                <w:rFonts w:cstheme="minorHAnsi"/>
              </w:rPr>
            </w:pPr>
            <w:r>
              <w:rPr>
                <w:rFonts w:cstheme="minorHAnsi"/>
              </w:rPr>
              <w:t>n/a</w:t>
            </w:r>
          </w:p>
        </w:tc>
      </w:tr>
      <w:tr w:rsidR="0024783D" w:rsidRPr="0086735D" w14:paraId="027785BF" w14:textId="77777777" w:rsidTr="00B97EAE">
        <w:trPr>
          <w:cnfStyle w:val="000000100000" w:firstRow="0" w:lastRow="0" w:firstColumn="0" w:lastColumn="0" w:oddVBand="0" w:evenVBand="0" w:oddHBand="1" w:evenHBand="0" w:firstRowFirstColumn="0" w:firstRowLastColumn="0" w:lastRowFirstColumn="0" w:lastRowLastColumn="0"/>
        </w:trPr>
        <w:tc>
          <w:tcPr>
            <w:tcW w:w="1838" w:type="pct"/>
          </w:tcPr>
          <w:p w14:paraId="4071AC69" w14:textId="4FE12708" w:rsidR="0024783D" w:rsidRPr="00BF17B2" w:rsidRDefault="0024783D" w:rsidP="0024783D">
            <w:r w:rsidRPr="00845F73">
              <w:rPr>
                <w:rFonts w:cstheme="minorHAnsi"/>
                <w:bCs/>
              </w:rPr>
              <w:t>Durbin-Watson Statistic</w:t>
            </w:r>
          </w:p>
        </w:tc>
        <w:tc>
          <w:tcPr>
            <w:tcW w:w="1589" w:type="pct"/>
          </w:tcPr>
          <w:p w14:paraId="63F017FA" w14:textId="02C6057E" w:rsidR="0024783D" w:rsidRPr="00845F73" w:rsidRDefault="0024783D" w:rsidP="0024783D">
            <w:pPr>
              <w:jc w:val="center"/>
              <w:rPr>
                <w:rFonts w:cstheme="minorHAnsi"/>
              </w:rPr>
            </w:pPr>
            <w:r>
              <w:rPr>
                <w:rFonts w:cstheme="minorHAnsi"/>
              </w:rPr>
              <w:t>2.47</w:t>
            </w:r>
          </w:p>
        </w:tc>
        <w:tc>
          <w:tcPr>
            <w:tcW w:w="987" w:type="pct"/>
          </w:tcPr>
          <w:p w14:paraId="0CD4B7E0" w14:textId="02BD42C8" w:rsidR="0024783D" w:rsidRPr="00845F73" w:rsidRDefault="0024783D" w:rsidP="0024783D">
            <w:pPr>
              <w:jc w:val="center"/>
              <w:rPr>
                <w:rFonts w:cstheme="minorHAnsi"/>
              </w:rPr>
            </w:pPr>
            <w:r>
              <w:rPr>
                <w:rFonts w:cstheme="minorHAnsi"/>
              </w:rPr>
              <w:t>n/a</w:t>
            </w:r>
          </w:p>
        </w:tc>
        <w:tc>
          <w:tcPr>
            <w:tcW w:w="586" w:type="pct"/>
          </w:tcPr>
          <w:p w14:paraId="579ECEFC" w14:textId="31B7A6A9" w:rsidR="0024783D" w:rsidRPr="00845F73" w:rsidRDefault="0024783D" w:rsidP="0024783D">
            <w:pPr>
              <w:jc w:val="center"/>
              <w:rPr>
                <w:rFonts w:cstheme="minorHAnsi"/>
              </w:rPr>
            </w:pPr>
            <w:r>
              <w:rPr>
                <w:rFonts w:cstheme="minorHAnsi"/>
              </w:rPr>
              <w:t>n/a</w:t>
            </w:r>
          </w:p>
        </w:tc>
      </w:tr>
    </w:tbl>
    <w:p w14:paraId="60D50468" w14:textId="77777777" w:rsidR="00E74D03" w:rsidRDefault="00E74D03" w:rsidP="00E74D03">
      <w:pPr>
        <w:spacing w:after="0"/>
        <w:rPr>
          <w:rFonts w:ascii="Arial" w:hAnsi="Arial" w:cs="Arial"/>
          <w:sz w:val="24"/>
          <w:szCs w:val="24"/>
        </w:rPr>
      </w:pPr>
      <w:r w:rsidRPr="00291577">
        <w:rPr>
          <w:rFonts w:ascii="Arial" w:hAnsi="Arial" w:cs="Arial"/>
          <w:sz w:val="24"/>
          <w:szCs w:val="24"/>
        </w:rPr>
        <w:t>β</w:t>
      </w:r>
      <w:r w:rsidRPr="00291577">
        <w:rPr>
          <w:rFonts w:ascii="Arial" w:hAnsi="Arial" w:cs="Arial"/>
          <w:sz w:val="24"/>
          <w:szCs w:val="24"/>
          <w:vertAlign w:val="subscript"/>
        </w:rPr>
        <w:t>0-3</w:t>
      </w:r>
      <w:r>
        <w:rPr>
          <w:rFonts w:ascii="Arial" w:hAnsi="Arial" w:cs="Arial"/>
          <w:sz w:val="24"/>
          <w:szCs w:val="24"/>
        </w:rPr>
        <w:t xml:space="preserve"> are coefficients from the single-group interrupted time series analysis model; the intercept represents the outcome at the start of the study period; the relative change is calculated compared to the predicted value at the same time point had the pre-intervention trend continued.    </w:t>
      </w:r>
      <w:r w:rsidRPr="0086735D">
        <w:rPr>
          <w:rFonts w:ascii="Arial" w:hAnsi="Arial" w:cs="Arial"/>
          <w:sz w:val="24"/>
          <w:szCs w:val="24"/>
        </w:rPr>
        <w:t xml:space="preserve"> </w:t>
      </w:r>
    </w:p>
    <w:p w14:paraId="5F5441CD" w14:textId="77777777" w:rsidR="00444374" w:rsidRDefault="00444374" w:rsidP="00444374">
      <w:pPr>
        <w:spacing w:after="0"/>
        <w:rPr>
          <w:rFonts w:ascii="Arial" w:hAnsi="Arial" w:cs="Arial"/>
          <w:sz w:val="24"/>
          <w:szCs w:val="24"/>
        </w:rPr>
      </w:pPr>
      <w:proofErr w:type="spellStart"/>
      <w:r w:rsidRPr="00460693">
        <w:rPr>
          <w:rFonts w:ascii="Arial" w:hAnsi="Arial" w:cs="Arial"/>
          <w:sz w:val="24"/>
          <w:szCs w:val="24"/>
          <w:vertAlign w:val="superscript"/>
        </w:rPr>
        <w:t>a</w:t>
      </w:r>
      <w:r w:rsidR="00CF4888">
        <w:rPr>
          <w:rFonts w:ascii="Arial" w:hAnsi="Arial" w:cs="Arial"/>
          <w:sz w:val="24"/>
          <w:szCs w:val="24"/>
        </w:rPr>
        <w:t>Calculated</w:t>
      </w:r>
      <w:proofErr w:type="spellEnd"/>
      <w:r w:rsidR="00CF4888">
        <w:rPr>
          <w:rFonts w:ascii="Arial" w:hAnsi="Arial" w:cs="Arial"/>
          <w:sz w:val="24"/>
          <w:szCs w:val="24"/>
        </w:rPr>
        <w:t xml:space="preserve"> at quarter 2 2020. </w:t>
      </w:r>
      <w:r w:rsidRPr="0086735D">
        <w:rPr>
          <w:rFonts w:ascii="Arial" w:hAnsi="Arial" w:cs="Arial"/>
          <w:sz w:val="24"/>
          <w:szCs w:val="24"/>
        </w:rPr>
        <w:t xml:space="preserve">95% </w:t>
      </w:r>
      <w:r>
        <w:rPr>
          <w:rFonts w:ascii="Arial" w:hAnsi="Arial" w:cs="Arial"/>
          <w:sz w:val="24"/>
          <w:szCs w:val="24"/>
        </w:rPr>
        <w:t>c</w:t>
      </w:r>
      <w:r w:rsidRPr="0086735D">
        <w:rPr>
          <w:rFonts w:ascii="Arial" w:hAnsi="Arial" w:cs="Arial"/>
          <w:sz w:val="24"/>
          <w:szCs w:val="24"/>
        </w:rPr>
        <w:t xml:space="preserve">onfidence </w:t>
      </w:r>
      <w:r>
        <w:rPr>
          <w:rFonts w:ascii="Arial" w:hAnsi="Arial" w:cs="Arial"/>
          <w:sz w:val="24"/>
          <w:szCs w:val="24"/>
        </w:rPr>
        <w:t>i</w:t>
      </w:r>
      <w:r w:rsidRPr="0086735D">
        <w:rPr>
          <w:rFonts w:ascii="Arial" w:hAnsi="Arial" w:cs="Arial"/>
          <w:sz w:val="24"/>
          <w:szCs w:val="24"/>
        </w:rPr>
        <w:t xml:space="preserve">nterval calculated using model bootstrapping </w:t>
      </w:r>
    </w:p>
    <w:p w14:paraId="7E3B5C0A" w14:textId="77777777" w:rsidR="00A93DD1" w:rsidRDefault="00A93DD1" w:rsidP="00444374">
      <w:pPr>
        <w:spacing w:after="0"/>
        <w:rPr>
          <w:rFonts w:ascii="Arial" w:hAnsi="Arial" w:cs="Arial"/>
          <w:sz w:val="24"/>
          <w:szCs w:val="24"/>
        </w:rPr>
      </w:pPr>
    </w:p>
    <w:p w14:paraId="2B537129" w14:textId="77777777" w:rsidR="00A93DD1" w:rsidRDefault="00A93DD1" w:rsidP="00444374">
      <w:pPr>
        <w:spacing w:after="0"/>
        <w:rPr>
          <w:rFonts w:ascii="Arial" w:hAnsi="Arial" w:cs="Arial"/>
          <w:sz w:val="24"/>
          <w:szCs w:val="24"/>
        </w:rPr>
      </w:pPr>
    </w:p>
    <w:p w14:paraId="2F696BD8" w14:textId="77777777" w:rsidR="00A93DD1" w:rsidRDefault="00A93DD1" w:rsidP="00444374">
      <w:pPr>
        <w:spacing w:after="0"/>
        <w:rPr>
          <w:rFonts w:ascii="Arial" w:hAnsi="Arial" w:cs="Arial"/>
          <w:sz w:val="24"/>
          <w:szCs w:val="24"/>
        </w:rPr>
      </w:pPr>
    </w:p>
    <w:p w14:paraId="0FD14EF5" w14:textId="77777777" w:rsidR="00A93DD1" w:rsidRDefault="00A93DD1" w:rsidP="00444374">
      <w:pPr>
        <w:spacing w:after="0"/>
        <w:rPr>
          <w:rFonts w:ascii="Arial" w:hAnsi="Arial" w:cs="Arial"/>
          <w:sz w:val="24"/>
          <w:szCs w:val="24"/>
        </w:rPr>
      </w:pPr>
    </w:p>
    <w:p w14:paraId="76D4B3AE" w14:textId="77777777" w:rsidR="00A93DD1" w:rsidRDefault="00A93DD1" w:rsidP="00444374">
      <w:pPr>
        <w:spacing w:after="0"/>
        <w:rPr>
          <w:rFonts w:ascii="Arial" w:hAnsi="Arial" w:cs="Arial"/>
          <w:sz w:val="24"/>
          <w:szCs w:val="24"/>
        </w:rPr>
      </w:pPr>
    </w:p>
    <w:p w14:paraId="242EC9F3" w14:textId="77777777" w:rsidR="00A93DD1" w:rsidRDefault="00A93DD1" w:rsidP="00444374">
      <w:pPr>
        <w:spacing w:after="0"/>
        <w:rPr>
          <w:rFonts w:ascii="Arial" w:hAnsi="Arial" w:cs="Arial"/>
          <w:sz w:val="24"/>
          <w:szCs w:val="24"/>
        </w:rPr>
      </w:pPr>
    </w:p>
    <w:p w14:paraId="35248199" w14:textId="77777777" w:rsidR="00A93DD1" w:rsidRDefault="00A93DD1" w:rsidP="00444374">
      <w:pPr>
        <w:spacing w:after="0"/>
        <w:rPr>
          <w:rFonts w:ascii="Arial" w:hAnsi="Arial" w:cs="Arial"/>
          <w:sz w:val="24"/>
          <w:szCs w:val="24"/>
        </w:rPr>
      </w:pPr>
    </w:p>
    <w:p w14:paraId="51CB05D9" w14:textId="73B01C61" w:rsidR="00A93DD1" w:rsidRDefault="00A93DD1" w:rsidP="00A93DD1">
      <w:pPr>
        <w:pStyle w:val="Heading1"/>
        <w:jc w:val="left"/>
        <w:rPr>
          <w:szCs w:val="24"/>
        </w:rPr>
      </w:pPr>
      <w:bookmarkStart w:id="14" w:name="_Toc114677336"/>
      <w:r w:rsidRPr="003A1967">
        <w:rPr>
          <w:b/>
          <w:bCs/>
        </w:rPr>
        <w:t>Supplementary Table S</w:t>
      </w:r>
      <w:r>
        <w:rPr>
          <w:b/>
          <w:bCs/>
        </w:rPr>
        <w:t>9</w:t>
      </w:r>
      <w:r w:rsidRPr="003A1967">
        <w:rPr>
          <w:b/>
          <w:bCs/>
        </w:rPr>
        <w:t>.</w:t>
      </w:r>
      <w:r>
        <w:t xml:space="preserve"> </w:t>
      </w:r>
      <w:proofErr w:type="gramStart"/>
      <w:r w:rsidR="00F847C7">
        <w:t>Si</w:t>
      </w:r>
      <w:r w:rsidR="00F847C7" w:rsidRPr="0086735D">
        <w:t>ngle</w:t>
      </w:r>
      <w:r w:rsidR="00F847C7">
        <w:t>-group</w:t>
      </w:r>
      <w:proofErr w:type="gramEnd"/>
      <w:r w:rsidR="00F847C7" w:rsidRPr="0086735D">
        <w:t xml:space="preserve"> interrupted time </w:t>
      </w:r>
      <w:r w:rsidR="00F847C7" w:rsidRPr="004E71B3">
        <w:t>series</w:t>
      </w:r>
      <w:r w:rsidR="00F847C7" w:rsidRPr="0086735D">
        <w:t xml:space="preserve"> analysis of opioid</w:t>
      </w:r>
      <w:r w:rsidR="00F847C7">
        <w:t>s in Scotland</w:t>
      </w:r>
      <w:r w:rsidR="00D84460">
        <w:t xml:space="preserve"> (without buprenorphine, buprenorphine and naloxone and methadone hyd</w:t>
      </w:r>
      <w:r w:rsidR="00815D36">
        <w:t>rochloride)</w:t>
      </w:r>
      <w:bookmarkEnd w:id="14"/>
    </w:p>
    <w:tbl>
      <w:tblPr>
        <w:tblStyle w:val="PlainTable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314"/>
        <w:gridCol w:w="2865"/>
        <w:gridCol w:w="1780"/>
        <w:gridCol w:w="1057"/>
      </w:tblGrid>
      <w:tr w:rsidR="00A93DD1" w:rsidRPr="0086735D" w14:paraId="08A06810" w14:textId="77777777" w:rsidTr="00781430">
        <w:trPr>
          <w:cnfStyle w:val="000000100000" w:firstRow="0" w:lastRow="0" w:firstColumn="0" w:lastColumn="0" w:oddVBand="0" w:evenVBand="0" w:oddHBand="1" w:evenHBand="0" w:firstRowFirstColumn="0" w:firstRowLastColumn="0" w:lastRowFirstColumn="0" w:lastRowLastColumn="0"/>
        </w:trPr>
        <w:tc>
          <w:tcPr>
            <w:tcW w:w="1838" w:type="pct"/>
            <w:shd w:val="clear" w:color="auto" w:fill="D9E2F3" w:themeFill="accent1" w:themeFillTint="33"/>
            <w:vAlign w:val="center"/>
          </w:tcPr>
          <w:p w14:paraId="74AC29C0" w14:textId="77777777" w:rsidR="00A93DD1" w:rsidRPr="00845F73" w:rsidRDefault="00A93DD1" w:rsidP="00781430">
            <w:pPr>
              <w:jc w:val="center"/>
              <w:rPr>
                <w:rFonts w:cstheme="minorHAnsi"/>
                <w:b/>
              </w:rPr>
            </w:pPr>
          </w:p>
        </w:tc>
        <w:tc>
          <w:tcPr>
            <w:tcW w:w="1589" w:type="pct"/>
            <w:shd w:val="clear" w:color="auto" w:fill="D9E2F3" w:themeFill="accent1" w:themeFillTint="33"/>
            <w:vAlign w:val="center"/>
          </w:tcPr>
          <w:p w14:paraId="0BCAAC61" w14:textId="77777777" w:rsidR="00A93DD1" w:rsidRPr="00845F73" w:rsidRDefault="00A93DD1" w:rsidP="00781430">
            <w:pPr>
              <w:jc w:val="center"/>
              <w:rPr>
                <w:rFonts w:cstheme="minorHAnsi"/>
                <w:b/>
              </w:rPr>
            </w:pPr>
            <w:r w:rsidRPr="00845F73">
              <w:rPr>
                <w:rFonts w:cstheme="minorHAnsi"/>
                <w:b/>
              </w:rPr>
              <w:t>Estimate</w:t>
            </w:r>
          </w:p>
          <w:p w14:paraId="7943C201" w14:textId="77777777" w:rsidR="00A93DD1" w:rsidRPr="00845F73" w:rsidRDefault="00A93DD1" w:rsidP="00781430">
            <w:pPr>
              <w:jc w:val="center"/>
              <w:rPr>
                <w:rFonts w:cstheme="minorHAnsi"/>
                <w:b/>
              </w:rPr>
            </w:pPr>
            <w:r w:rsidRPr="00845F73">
              <w:rPr>
                <w:rFonts w:cstheme="minorHAnsi"/>
                <w:b/>
              </w:rPr>
              <w:t>(95% Confidence Interval)</w:t>
            </w:r>
          </w:p>
        </w:tc>
        <w:tc>
          <w:tcPr>
            <w:tcW w:w="987" w:type="pct"/>
            <w:shd w:val="clear" w:color="auto" w:fill="D9E2F3" w:themeFill="accent1" w:themeFillTint="33"/>
            <w:vAlign w:val="center"/>
          </w:tcPr>
          <w:p w14:paraId="3776861E" w14:textId="77777777" w:rsidR="00A93DD1" w:rsidRPr="00845F73" w:rsidRDefault="00A93DD1" w:rsidP="00781430">
            <w:pPr>
              <w:jc w:val="center"/>
              <w:rPr>
                <w:rFonts w:cstheme="minorHAnsi"/>
                <w:b/>
              </w:rPr>
            </w:pPr>
            <w:r w:rsidRPr="00845F73">
              <w:rPr>
                <w:rFonts w:cstheme="minorHAnsi"/>
                <w:b/>
              </w:rPr>
              <w:t>Standard Error</w:t>
            </w:r>
          </w:p>
        </w:tc>
        <w:tc>
          <w:tcPr>
            <w:tcW w:w="586" w:type="pct"/>
            <w:shd w:val="clear" w:color="auto" w:fill="D9E2F3" w:themeFill="accent1" w:themeFillTint="33"/>
            <w:vAlign w:val="center"/>
          </w:tcPr>
          <w:p w14:paraId="5903FA26" w14:textId="77777777" w:rsidR="00A93DD1" w:rsidRPr="00845F73" w:rsidRDefault="00A93DD1" w:rsidP="00781430">
            <w:pPr>
              <w:jc w:val="center"/>
              <w:rPr>
                <w:rFonts w:cstheme="minorHAnsi"/>
                <w:b/>
              </w:rPr>
            </w:pPr>
            <w:r w:rsidRPr="00845F73">
              <w:rPr>
                <w:rFonts w:cstheme="minorHAnsi"/>
                <w:b/>
              </w:rPr>
              <w:t>P value</w:t>
            </w:r>
          </w:p>
        </w:tc>
      </w:tr>
      <w:tr w:rsidR="00A93DD1" w:rsidRPr="0086735D" w14:paraId="7E93657E" w14:textId="77777777" w:rsidTr="00781430">
        <w:tc>
          <w:tcPr>
            <w:tcW w:w="1838" w:type="pct"/>
          </w:tcPr>
          <w:p w14:paraId="7FE68401" w14:textId="77777777" w:rsidR="00A93DD1" w:rsidRPr="00845F73" w:rsidRDefault="00A93DD1" w:rsidP="00781430">
            <w:pPr>
              <w:rPr>
                <w:rFonts w:cstheme="minorHAnsi"/>
              </w:rPr>
            </w:pPr>
            <w:r w:rsidRPr="00845F73">
              <w:rPr>
                <w:rFonts w:cstheme="minorHAnsi"/>
              </w:rPr>
              <w:t>Intercept, β</w:t>
            </w:r>
            <w:r w:rsidRPr="00845F73">
              <w:rPr>
                <w:rFonts w:cstheme="minorHAnsi"/>
                <w:vertAlign w:val="subscript"/>
              </w:rPr>
              <w:t>0</w:t>
            </w:r>
          </w:p>
        </w:tc>
        <w:tc>
          <w:tcPr>
            <w:tcW w:w="1589" w:type="pct"/>
            <w:vAlign w:val="center"/>
          </w:tcPr>
          <w:p w14:paraId="496315C5" w14:textId="31C37C82" w:rsidR="00A93DD1" w:rsidRPr="00845F73" w:rsidRDefault="00302356" w:rsidP="00781430">
            <w:pPr>
              <w:jc w:val="center"/>
              <w:rPr>
                <w:rFonts w:cstheme="minorHAnsi"/>
              </w:rPr>
            </w:pPr>
            <w:r>
              <w:rPr>
                <w:rFonts w:cstheme="minorHAnsi"/>
              </w:rPr>
              <w:t>200.</w:t>
            </w:r>
            <w:r w:rsidR="00F01FFB">
              <w:rPr>
                <w:rFonts w:cstheme="minorHAnsi"/>
              </w:rPr>
              <w:t>53</w:t>
            </w:r>
            <w:r w:rsidR="00F0038A">
              <w:rPr>
                <w:rFonts w:cstheme="minorHAnsi"/>
              </w:rPr>
              <w:t xml:space="preserve"> </w:t>
            </w:r>
            <w:r w:rsidR="00650EDA">
              <w:rPr>
                <w:rFonts w:cstheme="minorHAnsi"/>
              </w:rPr>
              <w:t>(</w:t>
            </w:r>
            <w:r w:rsidR="00EA43DA">
              <w:rPr>
                <w:rFonts w:cstheme="minorHAnsi"/>
              </w:rPr>
              <w:t>196</w:t>
            </w:r>
            <w:r w:rsidR="00482322">
              <w:rPr>
                <w:rFonts w:cstheme="minorHAnsi"/>
              </w:rPr>
              <w:t>.32, 204.74)</w:t>
            </w:r>
          </w:p>
        </w:tc>
        <w:tc>
          <w:tcPr>
            <w:tcW w:w="987" w:type="pct"/>
            <w:vAlign w:val="center"/>
          </w:tcPr>
          <w:p w14:paraId="794706B2" w14:textId="6E9E9686" w:rsidR="00A93DD1" w:rsidRPr="00845F73" w:rsidRDefault="00E70455" w:rsidP="00781430">
            <w:pPr>
              <w:jc w:val="center"/>
              <w:rPr>
                <w:rFonts w:cstheme="minorHAnsi"/>
              </w:rPr>
            </w:pPr>
            <w:r>
              <w:rPr>
                <w:rFonts w:cstheme="minorHAnsi"/>
              </w:rPr>
              <w:t>2.10</w:t>
            </w:r>
          </w:p>
        </w:tc>
        <w:tc>
          <w:tcPr>
            <w:tcW w:w="586" w:type="pct"/>
            <w:vAlign w:val="center"/>
          </w:tcPr>
          <w:p w14:paraId="34D8DC97" w14:textId="08E69C62" w:rsidR="00A93DD1" w:rsidRPr="00845F73" w:rsidRDefault="001E61EE" w:rsidP="00781430">
            <w:pPr>
              <w:jc w:val="center"/>
              <w:rPr>
                <w:rFonts w:cstheme="minorHAnsi"/>
              </w:rPr>
            </w:pPr>
            <w:r>
              <w:rPr>
                <w:rFonts w:cstheme="minorHAnsi"/>
              </w:rPr>
              <w:t>&lt;0.01</w:t>
            </w:r>
          </w:p>
        </w:tc>
      </w:tr>
      <w:tr w:rsidR="00A93DD1" w:rsidRPr="0086735D" w14:paraId="38B39B96" w14:textId="77777777" w:rsidTr="00781430">
        <w:trPr>
          <w:cnfStyle w:val="000000100000" w:firstRow="0" w:lastRow="0" w:firstColumn="0" w:lastColumn="0" w:oddVBand="0" w:evenVBand="0" w:oddHBand="1" w:evenHBand="0" w:firstRowFirstColumn="0" w:firstRowLastColumn="0" w:lastRowFirstColumn="0" w:lastRowLastColumn="0"/>
        </w:trPr>
        <w:tc>
          <w:tcPr>
            <w:tcW w:w="1838" w:type="pct"/>
          </w:tcPr>
          <w:p w14:paraId="77A98E67" w14:textId="77777777" w:rsidR="00A93DD1" w:rsidRPr="00845F73" w:rsidRDefault="00A93DD1" w:rsidP="00781430">
            <w:pPr>
              <w:rPr>
                <w:rFonts w:cstheme="minorHAnsi"/>
              </w:rPr>
            </w:pPr>
            <w:r w:rsidRPr="00845F73">
              <w:rPr>
                <w:rFonts w:cstheme="minorHAnsi"/>
              </w:rPr>
              <w:t>Pre-Intervention Trend, β</w:t>
            </w:r>
            <w:r w:rsidRPr="00845F73">
              <w:rPr>
                <w:rFonts w:cstheme="minorHAnsi"/>
                <w:vertAlign w:val="subscript"/>
              </w:rPr>
              <w:t>1</w:t>
            </w:r>
          </w:p>
        </w:tc>
        <w:tc>
          <w:tcPr>
            <w:tcW w:w="1589" w:type="pct"/>
            <w:vAlign w:val="center"/>
          </w:tcPr>
          <w:p w14:paraId="3EC8FA88" w14:textId="79B75620" w:rsidR="00A93DD1" w:rsidRPr="00845F73" w:rsidRDefault="00F01FFB" w:rsidP="00781430">
            <w:pPr>
              <w:jc w:val="center"/>
              <w:rPr>
                <w:rFonts w:cstheme="minorHAnsi"/>
              </w:rPr>
            </w:pPr>
            <w:r>
              <w:rPr>
                <w:rFonts w:cstheme="minorHAnsi"/>
              </w:rPr>
              <w:t>2.00</w:t>
            </w:r>
            <w:r w:rsidR="00482322">
              <w:rPr>
                <w:rFonts w:cstheme="minorHAnsi"/>
              </w:rPr>
              <w:t xml:space="preserve"> (</w:t>
            </w:r>
            <w:r w:rsidR="00001AA9">
              <w:rPr>
                <w:rFonts w:cstheme="minorHAnsi"/>
              </w:rPr>
              <w:t>1.80, 2.19)</w:t>
            </w:r>
          </w:p>
        </w:tc>
        <w:tc>
          <w:tcPr>
            <w:tcW w:w="987" w:type="pct"/>
            <w:vAlign w:val="center"/>
          </w:tcPr>
          <w:p w14:paraId="3F4009A6" w14:textId="0AC981AF" w:rsidR="00A93DD1" w:rsidRPr="00845F73" w:rsidRDefault="001E61EE" w:rsidP="00781430">
            <w:pPr>
              <w:jc w:val="center"/>
              <w:rPr>
                <w:rFonts w:cstheme="minorHAnsi"/>
              </w:rPr>
            </w:pPr>
            <w:r>
              <w:rPr>
                <w:rFonts w:cstheme="minorHAnsi"/>
              </w:rPr>
              <w:t>0.10</w:t>
            </w:r>
          </w:p>
        </w:tc>
        <w:tc>
          <w:tcPr>
            <w:tcW w:w="586" w:type="pct"/>
            <w:vAlign w:val="center"/>
          </w:tcPr>
          <w:p w14:paraId="16BF01C5" w14:textId="46D2C8FC" w:rsidR="00A93DD1" w:rsidRPr="00845F73" w:rsidRDefault="001E61EE" w:rsidP="00781430">
            <w:pPr>
              <w:jc w:val="center"/>
              <w:rPr>
                <w:rFonts w:cstheme="minorHAnsi"/>
              </w:rPr>
            </w:pPr>
            <w:r>
              <w:rPr>
                <w:rFonts w:cstheme="minorHAnsi"/>
              </w:rPr>
              <w:t>&lt;0.01</w:t>
            </w:r>
          </w:p>
        </w:tc>
      </w:tr>
      <w:tr w:rsidR="00A93DD1" w:rsidRPr="0086735D" w14:paraId="71DD0801" w14:textId="77777777" w:rsidTr="00781430">
        <w:tc>
          <w:tcPr>
            <w:tcW w:w="1838" w:type="pct"/>
            <w:vAlign w:val="center"/>
          </w:tcPr>
          <w:p w14:paraId="5D64AC19" w14:textId="77777777" w:rsidR="00A93DD1" w:rsidRPr="00845F73" w:rsidRDefault="00A93DD1" w:rsidP="00781430">
            <w:pPr>
              <w:rPr>
                <w:rFonts w:cstheme="minorHAnsi"/>
              </w:rPr>
            </w:pPr>
            <w:r w:rsidRPr="00845F73">
              <w:rPr>
                <w:rFonts w:cstheme="minorHAnsi"/>
              </w:rPr>
              <w:t>Change in Level, β</w:t>
            </w:r>
            <w:r w:rsidRPr="00845F73">
              <w:rPr>
                <w:rFonts w:cstheme="minorHAnsi"/>
                <w:vertAlign w:val="subscript"/>
              </w:rPr>
              <w:t>2</w:t>
            </w:r>
          </w:p>
        </w:tc>
        <w:tc>
          <w:tcPr>
            <w:tcW w:w="1589" w:type="pct"/>
            <w:vAlign w:val="center"/>
          </w:tcPr>
          <w:p w14:paraId="7A2B166B" w14:textId="1EEDA7B2" w:rsidR="00A93DD1" w:rsidRPr="00845F73" w:rsidRDefault="00857FB3" w:rsidP="00781430">
            <w:pPr>
              <w:jc w:val="center"/>
              <w:rPr>
                <w:rFonts w:cstheme="minorHAnsi"/>
              </w:rPr>
            </w:pPr>
            <w:r>
              <w:rPr>
                <w:rFonts w:cstheme="minorHAnsi"/>
              </w:rPr>
              <w:t>1.49</w:t>
            </w:r>
            <w:r w:rsidR="00001AA9">
              <w:rPr>
                <w:rFonts w:cstheme="minorHAnsi"/>
              </w:rPr>
              <w:t xml:space="preserve"> (-4.</w:t>
            </w:r>
            <w:r w:rsidR="001161B2">
              <w:rPr>
                <w:rFonts w:cstheme="minorHAnsi"/>
              </w:rPr>
              <w:t>93, 7.91)</w:t>
            </w:r>
          </w:p>
        </w:tc>
        <w:tc>
          <w:tcPr>
            <w:tcW w:w="987" w:type="pct"/>
            <w:vAlign w:val="center"/>
          </w:tcPr>
          <w:p w14:paraId="6207F0D1" w14:textId="6D621CA4" w:rsidR="00A93DD1" w:rsidRPr="00845F73" w:rsidRDefault="00F0038A" w:rsidP="00781430">
            <w:pPr>
              <w:jc w:val="center"/>
              <w:rPr>
                <w:rFonts w:cstheme="minorHAnsi"/>
              </w:rPr>
            </w:pPr>
            <w:r>
              <w:rPr>
                <w:rFonts w:cstheme="minorHAnsi"/>
              </w:rPr>
              <w:t>3.21</w:t>
            </w:r>
          </w:p>
        </w:tc>
        <w:tc>
          <w:tcPr>
            <w:tcW w:w="586" w:type="pct"/>
            <w:vAlign w:val="center"/>
          </w:tcPr>
          <w:p w14:paraId="65AE7C22" w14:textId="5736480C" w:rsidR="00A93DD1" w:rsidRPr="00845F73" w:rsidRDefault="00F0038A" w:rsidP="00781430">
            <w:pPr>
              <w:jc w:val="center"/>
              <w:rPr>
                <w:rFonts w:cstheme="minorHAnsi"/>
              </w:rPr>
            </w:pPr>
            <w:r>
              <w:rPr>
                <w:rFonts w:cstheme="minorHAnsi"/>
              </w:rPr>
              <w:t>0.64</w:t>
            </w:r>
          </w:p>
        </w:tc>
      </w:tr>
      <w:tr w:rsidR="00A93DD1" w:rsidRPr="0086735D" w14:paraId="578DD150" w14:textId="77777777" w:rsidTr="00781430">
        <w:trPr>
          <w:cnfStyle w:val="000000100000" w:firstRow="0" w:lastRow="0" w:firstColumn="0" w:lastColumn="0" w:oddVBand="0" w:evenVBand="0" w:oddHBand="1" w:evenHBand="0" w:firstRowFirstColumn="0" w:firstRowLastColumn="0" w:lastRowFirstColumn="0" w:lastRowLastColumn="0"/>
        </w:trPr>
        <w:tc>
          <w:tcPr>
            <w:tcW w:w="1838" w:type="pct"/>
          </w:tcPr>
          <w:p w14:paraId="4788FE88" w14:textId="77777777" w:rsidR="00A93DD1" w:rsidRPr="00845F73" w:rsidRDefault="00A93DD1" w:rsidP="00781430">
            <w:pPr>
              <w:rPr>
                <w:rFonts w:cstheme="minorHAnsi"/>
              </w:rPr>
            </w:pPr>
            <w:r w:rsidRPr="00845F73">
              <w:rPr>
                <w:rFonts w:cstheme="minorHAnsi"/>
              </w:rPr>
              <w:t>Change in Trend, β</w:t>
            </w:r>
            <w:r w:rsidRPr="00845F73">
              <w:rPr>
                <w:rFonts w:cstheme="minorHAnsi"/>
                <w:vertAlign w:val="subscript"/>
              </w:rPr>
              <w:t>3</w:t>
            </w:r>
          </w:p>
        </w:tc>
        <w:tc>
          <w:tcPr>
            <w:tcW w:w="1589" w:type="pct"/>
            <w:vAlign w:val="center"/>
          </w:tcPr>
          <w:p w14:paraId="6D997E19" w14:textId="25C8BC42" w:rsidR="00A93DD1" w:rsidRPr="00845F73" w:rsidRDefault="00E70455" w:rsidP="00781430">
            <w:pPr>
              <w:jc w:val="center"/>
              <w:rPr>
                <w:rFonts w:cstheme="minorHAnsi"/>
              </w:rPr>
            </w:pPr>
            <w:r>
              <w:rPr>
                <w:rFonts w:cstheme="minorHAnsi"/>
              </w:rPr>
              <w:t>-2.51</w:t>
            </w:r>
            <w:r w:rsidR="001161B2">
              <w:rPr>
                <w:rFonts w:cstheme="minorHAnsi"/>
              </w:rPr>
              <w:t xml:space="preserve"> (-2.89, -2.13)</w:t>
            </w:r>
          </w:p>
        </w:tc>
        <w:tc>
          <w:tcPr>
            <w:tcW w:w="987" w:type="pct"/>
            <w:vAlign w:val="center"/>
          </w:tcPr>
          <w:p w14:paraId="348764FE" w14:textId="29228996" w:rsidR="00A93DD1" w:rsidRPr="00845F73" w:rsidRDefault="00F0038A" w:rsidP="00781430">
            <w:pPr>
              <w:jc w:val="center"/>
              <w:rPr>
                <w:rFonts w:cstheme="minorHAnsi"/>
              </w:rPr>
            </w:pPr>
            <w:r>
              <w:rPr>
                <w:rFonts w:cstheme="minorHAnsi"/>
              </w:rPr>
              <w:t>0.19</w:t>
            </w:r>
          </w:p>
        </w:tc>
        <w:tc>
          <w:tcPr>
            <w:tcW w:w="586" w:type="pct"/>
            <w:vAlign w:val="center"/>
          </w:tcPr>
          <w:p w14:paraId="493A2AEE" w14:textId="31A7FD83" w:rsidR="00A93DD1" w:rsidRPr="00845F73" w:rsidRDefault="00F0038A" w:rsidP="00781430">
            <w:pPr>
              <w:jc w:val="center"/>
              <w:rPr>
                <w:rFonts w:cstheme="minorHAnsi"/>
              </w:rPr>
            </w:pPr>
            <w:r>
              <w:rPr>
                <w:rFonts w:cstheme="minorHAnsi"/>
              </w:rPr>
              <w:t>&lt;0.01</w:t>
            </w:r>
          </w:p>
        </w:tc>
      </w:tr>
      <w:tr w:rsidR="00A93DD1" w:rsidRPr="0086735D" w14:paraId="714B8189" w14:textId="77777777" w:rsidTr="00781430">
        <w:tc>
          <w:tcPr>
            <w:tcW w:w="1838" w:type="pct"/>
          </w:tcPr>
          <w:p w14:paraId="76A3D6A1" w14:textId="77777777" w:rsidR="00A93DD1" w:rsidRPr="00845F73" w:rsidRDefault="00A93DD1" w:rsidP="00781430">
            <w:pPr>
              <w:rPr>
                <w:rFonts w:cstheme="minorHAnsi"/>
                <w:bCs/>
              </w:rPr>
            </w:pPr>
            <w:r w:rsidRPr="00845F73">
              <w:rPr>
                <w:rFonts w:cstheme="minorHAnsi"/>
                <w:bCs/>
              </w:rPr>
              <w:t xml:space="preserve">Post-Intervention Trend, </w:t>
            </w:r>
            <w:r w:rsidRPr="00845F73">
              <w:rPr>
                <w:rFonts w:cstheme="minorHAnsi"/>
              </w:rPr>
              <w:t>β</w:t>
            </w:r>
            <w:r w:rsidRPr="00845F73">
              <w:rPr>
                <w:rFonts w:cstheme="minorHAnsi"/>
                <w:vertAlign w:val="subscript"/>
              </w:rPr>
              <w:t>1+3</w:t>
            </w:r>
          </w:p>
        </w:tc>
        <w:tc>
          <w:tcPr>
            <w:tcW w:w="1589" w:type="pct"/>
          </w:tcPr>
          <w:p w14:paraId="066DE643" w14:textId="59516238" w:rsidR="00A93DD1" w:rsidRPr="00845F73" w:rsidRDefault="008B785C" w:rsidP="00781430">
            <w:pPr>
              <w:jc w:val="center"/>
              <w:rPr>
                <w:rFonts w:cstheme="minorHAnsi"/>
              </w:rPr>
            </w:pPr>
            <w:r>
              <w:rPr>
                <w:rFonts w:cstheme="minorHAnsi"/>
              </w:rPr>
              <w:t>-0.52 (</w:t>
            </w:r>
            <w:r w:rsidR="007635A4">
              <w:rPr>
                <w:rFonts w:cstheme="minorHAnsi"/>
              </w:rPr>
              <w:t>-0.84</w:t>
            </w:r>
            <w:r w:rsidR="00734F17">
              <w:rPr>
                <w:rFonts w:cstheme="minorHAnsi"/>
              </w:rPr>
              <w:t>, -0.19)</w:t>
            </w:r>
          </w:p>
        </w:tc>
        <w:tc>
          <w:tcPr>
            <w:tcW w:w="987" w:type="pct"/>
          </w:tcPr>
          <w:p w14:paraId="412750E9" w14:textId="01846BE0" w:rsidR="00A93DD1" w:rsidRPr="00845F73" w:rsidRDefault="008B785C" w:rsidP="00781430">
            <w:pPr>
              <w:jc w:val="center"/>
              <w:rPr>
                <w:rFonts w:cstheme="minorHAnsi"/>
              </w:rPr>
            </w:pPr>
            <w:r>
              <w:rPr>
                <w:rFonts w:cstheme="minorHAnsi"/>
              </w:rPr>
              <w:t>0.16</w:t>
            </w:r>
          </w:p>
        </w:tc>
        <w:tc>
          <w:tcPr>
            <w:tcW w:w="586" w:type="pct"/>
          </w:tcPr>
          <w:p w14:paraId="1C57D9CE" w14:textId="6B616C29" w:rsidR="00A93DD1" w:rsidRPr="00845F73" w:rsidRDefault="008B785C" w:rsidP="00781430">
            <w:pPr>
              <w:jc w:val="center"/>
              <w:rPr>
                <w:rFonts w:cstheme="minorHAnsi"/>
              </w:rPr>
            </w:pPr>
            <w:r>
              <w:rPr>
                <w:rFonts w:cstheme="minorHAnsi"/>
              </w:rPr>
              <w:t>&lt;0.01</w:t>
            </w:r>
          </w:p>
        </w:tc>
      </w:tr>
      <w:tr w:rsidR="00A93DD1" w:rsidRPr="0086735D" w14:paraId="127F3D37" w14:textId="77777777" w:rsidTr="00781430">
        <w:trPr>
          <w:cnfStyle w:val="000000100000" w:firstRow="0" w:lastRow="0" w:firstColumn="0" w:lastColumn="0" w:oddVBand="0" w:evenVBand="0" w:oddHBand="1" w:evenHBand="0" w:firstRowFirstColumn="0" w:firstRowLastColumn="0" w:lastRowFirstColumn="0" w:lastRowLastColumn="0"/>
        </w:trPr>
        <w:tc>
          <w:tcPr>
            <w:tcW w:w="1838" w:type="pct"/>
          </w:tcPr>
          <w:p w14:paraId="78B54C78" w14:textId="18535490" w:rsidR="00A93DD1" w:rsidRPr="00845F73" w:rsidRDefault="00DB4509" w:rsidP="00781430">
            <w:pPr>
              <w:rPr>
                <w:rFonts w:cstheme="minorHAnsi"/>
                <w:bCs/>
              </w:rPr>
            </w:pPr>
            <w:r w:rsidRPr="00845F73">
              <w:rPr>
                <w:rFonts w:cstheme="minorHAnsi"/>
                <w:bCs/>
              </w:rPr>
              <w:t xml:space="preserve">Relative </w:t>
            </w:r>
            <w:r>
              <w:rPr>
                <w:rFonts w:cstheme="minorHAnsi"/>
                <w:bCs/>
              </w:rPr>
              <w:t>Change</w:t>
            </w:r>
            <w:r w:rsidRPr="00845F73">
              <w:rPr>
                <w:rFonts w:cstheme="minorHAnsi"/>
                <w:bCs/>
              </w:rPr>
              <w:t>, %</w:t>
            </w:r>
            <w:r>
              <w:rPr>
                <w:rFonts w:cstheme="minorHAnsi"/>
                <w:bCs/>
                <w:vertAlign w:val="superscript"/>
              </w:rPr>
              <w:t>a</w:t>
            </w:r>
          </w:p>
        </w:tc>
        <w:tc>
          <w:tcPr>
            <w:tcW w:w="1589" w:type="pct"/>
          </w:tcPr>
          <w:p w14:paraId="5E43806B" w14:textId="7568F88F" w:rsidR="00A93DD1" w:rsidRPr="00845F73" w:rsidRDefault="008D59A0" w:rsidP="00781430">
            <w:pPr>
              <w:jc w:val="center"/>
              <w:rPr>
                <w:rFonts w:cstheme="minorHAnsi"/>
              </w:rPr>
            </w:pPr>
            <w:r>
              <w:rPr>
                <w:rFonts w:cstheme="minorHAnsi"/>
              </w:rPr>
              <w:t>-19.</w:t>
            </w:r>
            <w:r w:rsidR="0045407D">
              <w:rPr>
                <w:rFonts w:cstheme="minorHAnsi"/>
              </w:rPr>
              <w:t>70 (-22</w:t>
            </w:r>
            <w:r w:rsidR="00450C02">
              <w:rPr>
                <w:rFonts w:cstheme="minorHAnsi"/>
              </w:rPr>
              <w:t>.4</w:t>
            </w:r>
            <w:r w:rsidR="00B60886">
              <w:rPr>
                <w:rFonts w:cstheme="minorHAnsi"/>
              </w:rPr>
              <w:t>6</w:t>
            </w:r>
            <w:r w:rsidR="00450C02">
              <w:rPr>
                <w:rFonts w:cstheme="minorHAnsi"/>
              </w:rPr>
              <w:t>, -16.</w:t>
            </w:r>
            <w:r w:rsidR="002F5CF8">
              <w:rPr>
                <w:rFonts w:cstheme="minorHAnsi"/>
              </w:rPr>
              <w:t>83</w:t>
            </w:r>
            <w:r w:rsidR="00450C02">
              <w:rPr>
                <w:rFonts w:cstheme="minorHAnsi"/>
              </w:rPr>
              <w:t>)</w:t>
            </w:r>
          </w:p>
        </w:tc>
        <w:tc>
          <w:tcPr>
            <w:tcW w:w="987" w:type="pct"/>
          </w:tcPr>
          <w:p w14:paraId="5EA26734" w14:textId="77777777" w:rsidR="00A93DD1" w:rsidRPr="00845F73" w:rsidRDefault="00A93DD1" w:rsidP="00781430">
            <w:pPr>
              <w:jc w:val="center"/>
              <w:rPr>
                <w:rFonts w:cstheme="minorHAnsi"/>
              </w:rPr>
            </w:pPr>
            <w:r>
              <w:rPr>
                <w:rFonts w:cstheme="minorHAnsi"/>
              </w:rPr>
              <w:t>n/a</w:t>
            </w:r>
          </w:p>
        </w:tc>
        <w:tc>
          <w:tcPr>
            <w:tcW w:w="586" w:type="pct"/>
          </w:tcPr>
          <w:p w14:paraId="175E2A08" w14:textId="77777777" w:rsidR="00A93DD1" w:rsidRPr="00845F73" w:rsidRDefault="00A93DD1" w:rsidP="00781430">
            <w:pPr>
              <w:jc w:val="center"/>
              <w:rPr>
                <w:rFonts w:cstheme="minorHAnsi"/>
              </w:rPr>
            </w:pPr>
            <w:r>
              <w:rPr>
                <w:rFonts w:cstheme="minorHAnsi"/>
              </w:rPr>
              <w:t>n/a</w:t>
            </w:r>
          </w:p>
        </w:tc>
      </w:tr>
      <w:tr w:rsidR="00A93DD1" w:rsidRPr="0086735D" w14:paraId="5264F7CC" w14:textId="77777777" w:rsidTr="00781430">
        <w:tc>
          <w:tcPr>
            <w:tcW w:w="1838" w:type="pct"/>
          </w:tcPr>
          <w:p w14:paraId="365C2552" w14:textId="77777777" w:rsidR="00A93DD1" w:rsidRPr="00BF17B2" w:rsidRDefault="00A93DD1" w:rsidP="00781430">
            <w:r w:rsidRPr="00845F73">
              <w:rPr>
                <w:rFonts w:cstheme="minorHAnsi"/>
                <w:bCs/>
              </w:rPr>
              <w:t>Durbin-Watson Statistic</w:t>
            </w:r>
          </w:p>
        </w:tc>
        <w:tc>
          <w:tcPr>
            <w:tcW w:w="1589" w:type="pct"/>
          </w:tcPr>
          <w:p w14:paraId="0810996D" w14:textId="31683B01" w:rsidR="00A93DD1" w:rsidRPr="00845F73" w:rsidRDefault="00D76A16" w:rsidP="00781430">
            <w:pPr>
              <w:jc w:val="center"/>
              <w:rPr>
                <w:rFonts w:cstheme="minorHAnsi"/>
              </w:rPr>
            </w:pPr>
            <w:r>
              <w:rPr>
                <w:rFonts w:cstheme="minorHAnsi"/>
              </w:rPr>
              <w:t>1.78</w:t>
            </w:r>
          </w:p>
        </w:tc>
        <w:tc>
          <w:tcPr>
            <w:tcW w:w="987" w:type="pct"/>
          </w:tcPr>
          <w:p w14:paraId="7FDAADE1" w14:textId="77777777" w:rsidR="00A93DD1" w:rsidRPr="00845F73" w:rsidRDefault="00A93DD1" w:rsidP="00781430">
            <w:pPr>
              <w:jc w:val="center"/>
              <w:rPr>
                <w:rFonts w:cstheme="minorHAnsi"/>
              </w:rPr>
            </w:pPr>
            <w:r>
              <w:rPr>
                <w:rFonts w:cstheme="minorHAnsi"/>
              </w:rPr>
              <w:t>n/a</w:t>
            </w:r>
          </w:p>
        </w:tc>
        <w:tc>
          <w:tcPr>
            <w:tcW w:w="586" w:type="pct"/>
          </w:tcPr>
          <w:p w14:paraId="034D954A" w14:textId="77777777" w:rsidR="00A93DD1" w:rsidRPr="00845F73" w:rsidRDefault="00A93DD1" w:rsidP="00781430">
            <w:pPr>
              <w:jc w:val="center"/>
              <w:rPr>
                <w:rFonts w:cstheme="minorHAnsi"/>
              </w:rPr>
            </w:pPr>
            <w:r>
              <w:rPr>
                <w:rFonts w:cstheme="minorHAnsi"/>
              </w:rPr>
              <w:t>n/a</w:t>
            </w:r>
          </w:p>
        </w:tc>
      </w:tr>
    </w:tbl>
    <w:p w14:paraId="4B02BCA2" w14:textId="77777777" w:rsidR="00A93DD1" w:rsidRDefault="00A93DD1" w:rsidP="00A93DD1">
      <w:pPr>
        <w:spacing w:after="0"/>
        <w:rPr>
          <w:rFonts w:ascii="Arial" w:hAnsi="Arial" w:cs="Arial"/>
          <w:sz w:val="24"/>
          <w:szCs w:val="24"/>
        </w:rPr>
      </w:pPr>
      <w:r w:rsidRPr="00291577">
        <w:rPr>
          <w:rFonts w:ascii="Arial" w:hAnsi="Arial" w:cs="Arial"/>
          <w:sz w:val="24"/>
          <w:szCs w:val="24"/>
        </w:rPr>
        <w:t>β</w:t>
      </w:r>
      <w:r w:rsidRPr="00291577">
        <w:rPr>
          <w:rFonts w:ascii="Arial" w:hAnsi="Arial" w:cs="Arial"/>
          <w:sz w:val="24"/>
          <w:szCs w:val="24"/>
          <w:vertAlign w:val="subscript"/>
        </w:rPr>
        <w:t>0-3</w:t>
      </w:r>
      <w:r>
        <w:rPr>
          <w:rFonts w:ascii="Arial" w:hAnsi="Arial" w:cs="Arial"/>
          <w:sz w:val="24"/>
          <w:szCs w:val="24"/>
        </w:rPr>
        <w:t xml:space="preserve"> are coefficients from the single-group interrupted time series analysis model; the intercept represents the outcome at the start of the study period; the relative change is calculated compared to the predicted value at the same time point had the pre-intervention trend continued.    </w:t>
      </w:r>
      <w:r w:rsidRPr="0086735D">
        <w:rPr>
          <w:rFonts w:ascii="Arial" w:hAnsi="Arial" w:cs="Arial"/>
          <w:sz w:val="24"/>
          <w:szCs w:val="24"/>
        </w:rPr>
        <w:t xml:space="preserve"> </w:t>
      </w:r>
    </w:p>
    <w:p w14:paraId="7B734FA9" w14:textId="77777777" w:rsidR="00964664" w:rsidRDefault="00A93DD1" w:rsidP="00A93DD1">
      <w:pPr>
        <w:spacing w:after="0"/>
        <w:rPr>
          <w:rFonts w:ascii="Arial" w:hAnsi="Arial" w:cs="Arial"/>
          <w:sz w:val="24"/>
          <w:szCs w:val="24"/>
        </w:rPr>
        <w:sectPr w:rsidR="00964664" w:rsidSect="00E72556">
          <w:pgSz w:w="11906" w:h="16838"/>
          <w:pgMar w:top="1440" w:right="1440" w:bottom="1440" w:left="1440" w:header="708" w:footer="708" w:gutter="0"/>
          <w:cols w:space="708"/>
          <w:docGrid w:linePitch="360"/>
        </w:sectPr>
      </w:pPr>
      <w:proofErr w:type="spellStart"/>
      <w:r w:rsidRPr="00460693">
        <w:rPr>
          <w:rFonts w:ascii="Arial" w:hAnsi="Arial" w:cs="Arial"/>
          <w:sz w:val="24"/>
          <w:szCs w:val="24"/>
          <w:vertAlign w:val="superscript"/>
        </w:rPr>
        <w:t>a</w:t>
      </w:r>
      <w:r>
        <w:rPr>
          <w:rFonts w:ascii="Arial" w:hAnsi="Arial" w:cs="Arial"/>
          <w:sz w:val="24"/>
          <w:szCs w:val="24"/>
        </w:rPr>
        <w:t>Calculated</w:t>
      </w:r>
      <w:proofErr w:type="spellEnd"/>
      <w:r>
        <w:rPr>
          <w:rFonts w:ascii="Arial" w:hAnsi="Arial" w:cs="Arial"/>
          <w:sz w:val="24"/>
          <w:szCs w:val="24"/>
        </w:rPr>
        <w:t xml:space="preserve"> at quarter 2 2020. </w:t>
      </w:r>
      <w:r w:rsidRPr="0086735D">
        <w:rPr>
          <w:rFonts w:ascii="Arial" w:hAnsi="Arial" w:cs="Arial"/>
          <w:sz w:val="24"/>
          <w:szCs w:val="24"/>
        </w:rPr>
        <w:t xml:space="preserve">95% </w:t>
      </w:r>
      <w:r>
        <w:rPr>
          <w:rFonts w:ascii="Arial" w:hAnsi="Arial" w:cs="Arial"/>
          <w:sz w:val="24"/>
          <w:szCs w:val="24"/>
        </w:rPr>
        <w:t>c</w:t>
      </w:r>
      <w:r w:rsidRPr="0086735D">
        <w:rPr>
          <w:rFonts w:ascii="Arial" w:hAnsi="Arial" w:cs="Arial"/>
          <w:sz w:val="24"/>
          <w:szCs w:val="24"/>
        </w:rPr>
        <w:t xml:space="preserve">onfidence </w:t>
      </w:r>
      <w:r>
        <w:rPr>
          <w:rFonts w:ascii="Arial" w:hAnsi="Arial" w:cs="Arial"/>
          <w:sz w:val="24"/>
          <w:szCs w:val="24"/>
        </w:rPr>
        <w:t>i</w:t>
      </w:r>
      <w:r w:rsidRPr="0086735D">
        <w:rPr>
          <w:rFonts w:ascii="Arial" w:hAnsi="Arial" w:cs="Arial"/>
          <w:sz w:val="24"/>
          <w:szCs w:val="24"/>
        </w:rPr>
        <w:t xml:space="preserve">nterval calculated using model bootstrapping </w:t>
      </w:r>
    </w:p>
    <w:p w14:paraId="11C40FF7" w14:textId="530C6F2C" w:rsidR="00964664" w:rsidRDefault="00964664" w:rsidP="00964664">
      <w:pPr>
        <w:pStyle w:val="Heading1"/>
        <w:jc w:val="left"/>
        <w:rPr>
          <w:szCs w:val="24"/>
        </w:rPr>
      </w:pPr>
      <w:bookmarkStart w:id="15" w:name="_Toc114677337"/>
      <w:r w:rsidRPr="003A1967">
        <w:rPr>
          <w:b/>
          <w:bCs/>
        </w:rPr>
        <w:lastRenderedPageBreak/>
        <w:t>Supplementary Table S</w:t>
      </w:r>
      <w:r w:rsidR="003E63C4">
        <w:rPr>
          <w:b/>
          <w:bCs/>
        </w:rPr>
        <w:t>10</w:t>
      </w:r>
      <w:r w:rsidRPr="003A1967">
        <w:rPr>
          <w:b/>
          <w:bCs/>
        </w:rPr>
        <w:t>.</w:t>
      </w:r>
      <w:r>
        <w:t xml:space="preserve"> </w:t>
      </w:r>
      <w:r w:rsidR="002B27A1" w:rsidRPr="0086735D">
        <w:t xml:space="preserve">Results of the </w:t>
      </w:r>
      <w:r w:rsidR="002B27A1">
        <w:t>controlled</w:t>
      </w:r>
      <w:r w:rsidR="002B27A1" w:rsidRPr="0086735D">
        <w:t xml:space="preserve"> interrupted time series analysis </w:t>
      </w:r>
      <w:r w:rsidR="002B27A1">
        <w:t xml:space="preserve">of </w:t>
      </w:r>
      <w:r w:rsidR="002B27A1" w:rsidRPr="0086735D">
        <w:t xml:space="preserve">opioid prescribing </w:t>
      </w:r>
      <w:r w:rsidR="002B27A1">
        <w:t xml:space="preserve">rates adjusted for </w:t>
      </w:r>
      <w:proofErr w:type="spellStart"/>
      <w:r w:rsidR="002B27A1">
        <w:t>gabapentinoid</w:t>
      </w:r>
      <w:proofErr w:type="spellEnd"/>
      <w:r w:rsidR="002B27A1">
        <w:t xml:space="preserve"> prescribing in Scotland (without buprenorphine, buprenorphine and naloxone and methadone hydrochloride)</w:t>
      </w:r>
      <w:bookmarkEnd w:id="15"/>
    </w:p>
    <w:tbl>
      <w:tblPr>
        <w:tblStyle w:val="PlainTable2"/>
        <w:tblW w:w="52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152"/>
        <w:gridCol w:w="2589"/>
        <w:gridCol w:w="1666"/>
        <w:gridCol w:w="986"/>
      </w:tblGrid>
      <w:tr w:rsidR="00964664" w:rsidRPr="0086735D" w14:paraId="1FF2D07F" w14:textId="77777777" w:rsidTr="00337B2B">
        <w:trPr>
          <w:cnfStyle w:val="000000100000" w:firstRow="0" w:lastRow="0" w:firstColumn="0" w:lastColumn="0" w:oddVBand="0" w:evenVBand="0" w:oddHBand="1" w:evenHBand="0" w:firstRowFirstColumn="0" w:firstRowLastColumn="0" w:lastRowFirstColumn="0" w:lastRowLastColumn="0"/>
        </w:trPr>
        <w:tc>
          <w:tcPr>
            <w:tcW w:w="2210" w:type="pct"/>
            <w:shd w:val="clear" w:color="auto" w:fill="D9E2F3" w:themeFill="accent1" w:themeFillTint="33"/>
            <w:vAlign w:val="center"/>
          </w:tcPr>
          <w:p w14:paraId="29A53D17" w14:textId="77777777" w:rsidR="00964664" w:rsidRPr="00845F73" w:rsidRDefault="00964664" w:rsidP="00337B2B">
            <w:pPr>
              <w:jc w:val="center"/>
              <w:rPr>
                <w:rFonts w:cstheme="minorHAnsi"/>
                <w:b/>
              </w:rPr>
            </w:pPr>
          </w:p>
        </w:tc>
        <w:tc>
          <w:tcPr>
            <w:tcW w:w="1378" w:type="pct"/>
            <w:shd w:val="clear" w:color="auto" w:fill="D9E2F3" w:themeFill="accent1" w:themeFillTint="33"/>
            <w:vAlign w:val="center"/>
          </w:tcPr>
          <w:p w14:paraId="43256456" w14:textId="77777777" w:rsidR="00964664" w:rsidRPr="00845F73" w:rsidRDefault="00964664" w:rsidP="00337B2B">
            <w:pPr>
              <w:jc w:val="center"/>
              <w:rPr>
                <w:rFonts w:cstheme="minorHAnsi"/>
                <w:b/>
              </w:rPr>
            </w:pPr>
            <w:r w:rsidRPr="00845F73">
              <w:rPr>
                <w:rFonts w:cstheme="minorHAnsi"/>
                <w:b/>
              </w:rPr>
              <w:t>Estimate</w:t>
            </w:r>
          </w:p>
          <w:p w14:paraId="0C870DF0" w14:textId="77777777" w:rsidR="00964664" w:rsidRPr="00845F73" w:rsidRDefault="00964664" w:rsidP="00337B2B">
            <w:pPr>
              <w:jc w:val="center"/>
              <w:rPr>
                <w:rFonts w:cstheme="minorHAnsi"/>
                <w:b/>
              </w:rPr>
            </w:pPr>
            <w:r w:rsidRPr="00845F73">
              <w:rPr>
                <w:rFonts w:cstheme="minorHAnsi"/>
                <w:b/>
              </w:rPr>
              <w:t>(95% Confidence Interval)</w:t>
            </w:r>
          </w:p>
        </w:tc>
        <w:tc>
          <w:tcPr>
            <w:tcW w:w="887" w:type="pct"/>
            <w:shd w:val="clear" w:color="auto" w:fill="D9E2F3" w:themeFill="accent1" w:themeFillTint="33"/>
            <w:vAlign w:val="center"/>
          </w:tcPr>
          <w:p w14:paraId="342E69BC" w14:textId="77777777" w:rsidR="00964664" w:rsidRPr="00845F73" w:rsidRDefault="00964664" w:rsidP="00337B2B">
            <w:pPr>
              <w:jc w:val="center"/>
              <w:rPr>
                <w:rFonts w:cstheme="minorHAnsi"/>
                <w:b/>
              </w:rPr>
            </w:pPr>
            <w:r w:rsidRPr="00845F73">
              <w:rPr>
                <w:rFonts w:cstheme="minorHAnsi"/>
                <w:b/>
              </w:rPr>
              <w:t>Standard Error</w:t>
            </w:r>
          </w:p>
        </w:tc>
        <w:tc>
          <w:tcPr>
            <w:tcW w:w="525" w:type="pct"/>
            <w:shd w:val="clear" w:color="auto" w:fill="D9E2F3" w:themeFill="accent1" w:themeFillTint="33"/>
            <w:vAlign w:val="center"/>
          </w:tcPr>
          <w:p w14:paraId="739B17F4" w14:textId="77777777" w:rsidR="00964664" w:rsidRPr="00845F73" w:rsidRDefault="00964664" w:rsidP="00337B2B">
            <w:pPr>
              <w:jc w:val="center"/>
              <w:rPr>
                <w:rFonts w:cstheme="minorHAnsi"/>
                <w:b/>
              </w:rPr>
            </w:pPr>
            <w:r w:rsidRPr="00845F73">
              <w:rPr>
                <w:rFonts w:cstheme="minorHAnsi"/>
                <w:b/>
              </w:rPr>
              <w:t>P value</w:t>
            </w:r>
          </w:p>
        </w:tc>
      </w:tr>
      <w:tr w:rsidR="00964664" w:rsidRPr="0086735D" w14:paraId="4EB735DC" w14:textId="77777777" w:rsidTr="00337B2B">
        <w:tc>
          <w:tcPr>
            <w:tcW w:w="2210" w:type="pct"/>
          </w:tcPr>
          <w:p w14:paraId="41355E7F" w14:textId="77777777" w:rsidR="00964664" w:rsidRPr="00845F73" w:rsidRDefault="00964664" w:rsidP="00337B2B">
            <w:pPr>
              <w:rPr>
                <w:rFonts w:cstheme="minorHAnsi"/>
              </w:rPr>
            </w:pPr>
            <w:r w:rsidRPr="00BF17B2">
              <w:t>Difference in Intercept, β</w:t>
            </w:r>
            <w:r w:rsidRPr="00845BAA">
              <w:rPr>
                <w:vertAlign w:val="subscript"/>
              </w:rPr>
              <w:t>4</w:t>
            </w:r>
          </w:p>
        </w:tc>
        <w:tc>
          <w:tcPr>
            <w:tcW w:w="1378" w:type="pct"/>
            <w:vAlign w:val="center"/>
          </w:tcPr>
          <w:p w14:paraId="3776F71E" w14:textId="08492769" w:rsidR="00964664" w:rsidRPr="00845F73" w:rsidRDefault="00EB1AAE" w:rsidP="00337B2B">
            <w:pPr>
              <w:jc w:val="center"/>
              <w:rPr>
                <w:rFonts w:cstheme="minorHAnsi"/>
              </w:rPr>
            </w:pPr>
            <w:r>
              <w:rPr>
                <w:rFonts w:cstheme="minorHAnsi"/>
              </w:rPr>
              <w:t>196</w:t>
            </w:r>
            <w:r w:rsidR="007307BA">
              <w:rPr>
                <w:rFonts w:cstheme="minorHAnsi"/>
              </w:rPr>
              <w:t>.90 (192.34, 201.47)</w:t>
            </w:r>
          </w:p>
        </w:tc>
        <w:tc>
          <w:tcPr>
            <w:tcW w:w="887" w:type="pct"/>
            <w:vAlign w:val="center"/>
          </w:tcPr>
          <w:p w14:paraId="69F31097" w14:textId="45A6536F" w:rsidR="00964664" w:rsidRPr="00845F73" w:rsidRDefault="007307BA" w:rsidP="00337B2B">
            <w:pPr>
              <w:jc w:val="center"/>
              <w:rPr>
                <w:rFonts w:cstheme="minorHAnsi"/>
              </w:rPr>
            </w:pPr>
            <w:r>
              <w:rPr>
                <w:rFonts w:cstheme="minorHAnsi"/>
              </w:rPr>
              <w:t>2.30</w:t>
            </w:r>
          </w:p>
        </w:tc>
        <w:tc>
          <w:tcPr>
            <w:tcW w:w="525" w:type="pct"/>
            <w:vAlign w:val="center"/>
          </w:tcPr>
          <w:p w14:paraId="2CD050C4" w14:textId="76D2D3AC" w:rsidR="00964664" w:rsidRPr="00845F73" w:rsidRDefault="007307BA" w:rsidP="00337B2B">
            <w:pPr>
              <w:jc w:val="center"/>
              <w:rPr>
                <w:rFonts w:cstheme="minorHAnsi"/>
              </w:rPr>
            </w:pPr>
            <w:r>
              <w:rPr>
                <w:rFonts w:cstheme="minorHAnsi"/>
              </w:rPr>
              <w:t>&lt;0.01</w:t>
            </w:r>
          </w:p>
        </w:tc>
      </w:tr>
      <w:tr w:rsidR="00964664" w:rsidRPr="0086735D" w14:paraId="60E5C036" w14:textId="77777777" w:rsidTr="00337B2B">
        <w:trPr>
          <w:cnfStyle w:val="000000100000" w:firstRow="0" w:lastRow="0" w:firstColumn="0" w:lastColumn="0" w:oddVBand="0" w:evenVBand="0" w:oddHBand="1" w:evenHBand="0" w:firstRowFirstColumn="0" w:firstRowLastColumn="0" w:lastRowFirstColumn="0" w:lastRowLastColumn="0"/>
        </w:trPr>
        <w:tc>
          <w:tcPr>
            <w:tcW w:w="2210" w:type="pct"/>
          </w:tcPr>
          <w:p w14:paraId="659A1DC6" w14:textId="77777777" w:rsidR="00964664" w:rsidRPr="00845F73" w:rsidRDefault="00964664" w:rsidP="00337B2B">
            <w:pPr>
              <w:rPr>
                <w:rFonts w:cstheme="minorHAnsi"/>
              </w:rPr>
            </w:pPr>
            <w:r w:rsidRPr="00BF17B2">
              <w:t>Difference in Pre-Intervention Trend, β</w:t>
            </w:r>
            <w:r w:rsidRPr="00845BAA">
              <w:rPr>
                <w:vertAlign w:val="subscript"/>
              </w:rPr>
              <w:t>5</w:t>
            </w:r>
          </w:p>
        </w:tc>
        <w:tc>
          <w:tcPr>
            <w:tcW w:w="1378" w:type="pct"/>
            <w:vAlign w:val="center"/>
          </w:tcPr>
          <w:p w14:paraId="64752180" w14:textId="7776144D" w:rsidR="00964664" w:rsidRPr="00845F73" w:rsidRDefault="007307BA" w:rsidP="00337B2B">
            <w:pPr>
              <w:jc w:val="center"/>
              <w:rPr>
                <w:rFonts w:cstheme="minorHAnsi"/>
              </w:rPr>
            </w:pPr>
            <w:r>
              <w:rPr>
                <w:rFonts w:cstheme="minorHAnsi"/>
              </w:rPr>
              <w:t>1.12 (</w:t>
            </w:r>
            <w:r w:rsidR="00D27063">
              <w:rPr>
                <w:rFonts w:cstheme="minorHAnsi"/>
              </w:rPr>
              <w:t>0.90, 1.33)</w:t>
            </w:r>
          </w:p>
        </w:tc>
        <w:tc>
          <w:tcPr>
            <w:tcW w:w="887" w:type="pct"/>
            <w:vAlign w:val="center"/>
          </w:tcPr>
          <w:p w14:paraId="7C930CE7" w14:textId="6409650E" w:rsidR="00964664" w:rsidRPr="00845F73" w:rsidRDefault="00483833" w:rsidP="00337B2B">
            <w:pPr>
              <w:jc w:val="center"/>
              <w:rPr>
                <w:rFonts w:cstheme="minorHAnsi"/>
              </w:rPr>
            </w:pPr>
            <w:r>
              <w:rPr>
                <w:rFonts w:cstheme="minorHAnsi"/>
              </w:rPr>
              <w:t>0.11</w:t>
            </w:r>
          </w:p>
        </w:tc>
        <w:tc>
          <w:tcPr>
            <w:tcW w:w="525" w:type="pct"/>
            <w:vAlign w:val="center"/>
          </w:tcPr>
          <w:p w14:paraId="3062FF37" w14:textId="6DE7AF47" w:rsidR="00964664" w:rsidRPr="00845F73" w:rsidRDefault="00483833" w:rsidP="00337B2B">
            <w:pPr>
              <w:jc w:val="center"/>
              <w:rPr>
                <w:rFonts w:cstheme="minorHAnsi"/>
              </w:rPr>
            </w:pPr>
            <w:r>
              <w:rPr>
                <w:rFonts w:cstheme="minorHAnsi"/>
              </w:rPr>
              <w:t>&lt;0.01</w:t>
            </w:r>
          </w:p>
        </w:tc>
      </w:tr>
      <w:tr w:rsidR="00964664" w:rsidRPr="0086735D" w14:paraId="70BAF2C1" w14:textId="77777777" w:rsidTr="00337B2B">
        <w:tc>
          <w:tcPr>
            <w:tcW w:w="2210" w:type="pct"/>
          </w:tcPr>
          <w:p w14:paraId="690BD2A6" w14:textId="77777777" w:rsidR="00964664" w:rsidRPr="00845F73" w:rsidRDefault="00964664" w:rsidP="00337B2B">
            <w:pPr>
              <w:rPr>
                <w:rFonts w:cstheme="minorHAnsi"/>
              </w:rPr>
            </w:pPr>
            <w:r w:rsidRPr="00BF17B2">
              <w:t>Difference in Change in Level, β</w:t>
            </w:r>
            <w:r w:rsidRPr="00845BAA">
              <w:rPr>
                <w:vertAlign w:val="subscript"/>
              </w:rPr>
              <w:t>6</w:t>
            </w:r>
          </w:p>
        </w:tc>
        <w:tc>
          <w:tcPr>
            <w:tcW w:w="1378" w:type="pct"/>
            <w:vAlign w:val="center"/>
          </w:tcPr>
          <w:p w14:paraId="059D0DE3" w14:textId="6AB49F72" w:rsidR="00964664" w:rsidRPr="00845F73" w:rsidRDefault="00DF3AE8" w:rsidP="00337B2B">
            <w:pPr>
              <w:jc w:val="center"/>
              <w:rPr>
                <w:rFonts w:cstheme="minorHAnsi"/>
              </w:rPr>
            </w:pPr>
            <w:r>
              <w:rPr>
                <w:rFonts w:cstheme="minorHAnsi"/>
              </w:rPr>
              <w:t xml:space="preserve">-6.51 (-13.47, </w:t>
            </w:r>
            <w:r w:rsidR="00DC132B">
              <w:rPr>
                <w:rFonts w:cstheme="minorHAnsi"/>
              </w:rPr>
              <w:t>0.45</w:t>
            </w:r>
            <w:r>
              <w:rPr>
                <w:rFonts w:cstheme="minorHAnsi"/>
              </w:rPr>
              <w:t>)</w:t>
            </w:r>
          </w:p>
        </w:tc>
        <w:tc>
          <w:tcPr>
            <w:tcW w:w="887" w:type="pct"/>
            <w:vAlign w:val="center"/>
          </w:tcPr>
          <w:p w14:paraId="752A804C" w14:textId="380B2DFD" w:rsidR="00964664" w:rsidRPr="00845F73" w:rsidRDefault="00DC132B" w:rsidP="00337B2B">
            <w:pPr>
              <w:jc w:val="center"/>
              <w:rPr>
                <w:rFonts w:cstheme="minorHAnsi"/>
              </w:rPr>
            </w:pPr>
            <w:r>
              <w:rPr>
                <w:rFonts w:cstheme="minorHAnsi"/>
              </w:rPr>
              <w:t>3.51</w:t>
            </w:r>
          </w:p>
        </w:tc>
        <w:tc>
          <w:tcPr>
            <w:tcW w:w="525" w:type="pct"/>
            <w:vAlign w:val="center"/>
          </w:tcPr>
          <w:p w14:paraId="7A88E4B5" w14:textId="50080599" w:rsidR="00964664" w:rsidRPr="00845F73" w:rsidRDefault="00DC132B" w:rsidP="00337B2B">
            <w:pPr>
              <w:jc w:val="center"/>
              <w:rPr>
                <w:rFonts w:cstheme="minorHAnsi"/>
              </w:rPr>
            </w:pPr>
            <w:r>
              <w:rPr>
                <w:rFonts w:cstheme="minorHAnsi"/>
              </w:rPr>
              <w:t>0.07</w:t>
            </w:r>
          </w:p>
        </w:tc>
      </w:tr>
      <w:tr w:rsidR="00964664" w:rsidRPr="0086735D" w14:paraId="0EA6B3E5" w14:textId="77777777" w:rsidTr="00337B2B">
        <w:trPr>
          <w:cnfStyle w:val="000000100000" w:firstRow="0" w:lastRow="0" w:firstColumn="0" w:lastColumn="0" w:oddVBand="0" w:evenVBand="0" w:oddHBand="1" w:evenHBand="0" w:firstRowFirstColumn="0" w:firstRowLastColumn="0" w:lastRowFirstColumn="0" w:lastRowLastColumn="0"/>
        </w:trPr>
        <w:tc>
          <w:tcPr>
            <w:tcW w:w="2210" w:type="pct"/>
          </w:tcPr>
          <w:p w14:paraId="4EFFD1D2" w14:textId="77777777" w:rsidR="00964664" w:rsidRPr="00845F73" w:rsidRDefault="00964664" w:rsidP="00337B2B">
            <w:pPr>
              <w:rPr>
                <w:rFonts w:cstheme="minorHAnsi"/>
              </w:rPr>
            </w:pPr>
            <w:r w:rsidRPr="00BF17B2">
              <w:t>Difference in Change in Trend, β</w:t>
            </w:r>
            <w:r w:rsidRPr="00845BAA">
              <w:rPr>
                <w:vertAlign w:val="subscript"/>
              </w:rPr>
              <w:t>7</w:t>
            </w:r>
          </w:p>
        </w:tc>
        <w:tc>
          <w:tcPr>
            <w:tcW w:w="1378" w:type="pct"/>
            <w:vAlign w:val="center"/>
          </w:tcPr>
          <w:p w14:paraId="47213AEF" w14:textId="117001E7" w:rsidR="00964664" w:rsidRPr="00845F73" w:rsidRDefault="00DC132B" w:rsidP="00337B2B">
            <w:pPr>
              <w:jc w:val="center"/>
              <w:rPr>
                <w:rFonts w:cstheme="minorHAnsi"/>
              </w:rPr>
            </w:pPr>
            <w:r>
              <w:rPr>
                <w:rFonts w:cstheme="minorHAnsi"/>
              </w:rPr>
              <w:t>-2.78 (</w:t>
            </w:r>
            <w:r w:rsidR="008962FD">
              <w:rPr>
                <w:rFonts w:cstheme="minorHAnsi"/>
              </w:rPr>
              <w:t>-3.20, -2.37)</w:t>
            </w:r>
          </w:p>
        </w:tc>
        <w:tc>
          <w:tcPr>
            <w:tcW w:w="887" w:type="pct"/>
            <w:vAlign w:val="center"/>
          </w:tcPr>
          <w:p w14:paraId="60DEADE7" w14:textId="372E5615" w:rsidR="00964664" w:rsidRPr="00845F73" w:rsidRDefault="008962FD" w:rsidP="00337B2B">
            <w:pPr>
              <w:jc w:val="center"/>
              <w:rPr>
                <w:rFonts w:cstheme="minorHAnsi"/>
              </w:rPr>
            </w:pPr>
            <w:r>
              <w:rPr>
                <w:rFonts w:cstheme="minorHAnsi"/>
              </w:rPr>
              <w:t>0.21</w:t>
            </w:r>
          </w:p>
        </w:tc>
        <w:tc>
          <w:tcPr>
            <w:tcW w:w="525" w:type="pct"/>
            <w:vAlign w:val="center"/>
          </w:tcPr>
          <w:p w14:paraId="59C250E8" w14:textId="336B633F" w:rsidR="00964664" w:rsidRPr="00845F73" w:rsidRDefault="008962FD" w:rsidP="00337B2B">
            <w:pPr>
              <w:jc w:val="center"/>
              <w:rPr>
                <w:rFonts w:cstheme="minorHAnsi"/>
              </w:rPr>
            </w:pPr>
            <w:r>
              <w:rPr>
                <w:rFonts w:cstheme="minorHAnsi"/>
              </w:rPr>
              <w:t>&lt;0.01</w:t>
            </w:r>
          </w:p>
        </w:tc>
      </w:tr>
      <w:tr w:rsidR="00964664" w:rsidRPr="0086735D" w14:paraId="545E0B80" w14:textId="77777777" w:rsidTr="00337B2B">
        <w:tc>
          <w:tcPr>
            <w:tcW w:w="2210" w:type="pct"/>
          </w:tcPr>
          <w:p w14:paraId="2C5002FA" w14:textId="77777777" w:rsidR="00964664" w:rsidRPr="00845F73" w:rsidRDefault="00964664" w:rsidP="00337B2B">
            <w:pPr>
              <w:rPr>
                <w:rFonts w:cstheme="minorHAnsi"/>
                <w:bCs/>
              </w:rPr>
            </w:pPr>
            <w:r w:rsidRPr="00BF17B2">
              <w:t>Difference in Post-Intervention Trend, β</w:t>
            </w:r>
            <w:r w:rsidRPr="00845BAA">
              <w:rPr>
                <w:vertAlign w:val="subscript"/>
              </w:rPr>
              <w:t>5+7</w:t>
            </w:r>
          </w:p>
        </w:tc>
        <w:tc>
          <w:tcPr>
            <w:tcW w:w="1378" w:type="pct"/>
          </w:tcPr>
          <w:p w14:paraId="148EFFCC" w14:textId="2E6604B0" w:rsidR="00964664" w:rsidRPr="00845F73" w:rsidRDefault="00890BF0" w:rsidP="00337B2B">
            <w:pPr>
              <w:jc w:val="center"/>
              <w:rPr>
                <w:rFonts w:cstheme="minorHAnsi"/>
              </w:rPr>
            </w:pPr>
            <w:r>
              <w:rPr>
                <w:rFonts w:cstheme="minorHAnsi"/>
              </w:rPr>
              <w:t>-1.67 (</w:t>
            </w:r>
            <w:r w:rsidR="00034253">
              <w:rPr>
                <w:rFonts w:cstheme="minorHAnsi"/>
              </w:rPr>
              <w:t>-2.00, -1.34)</w:t>
            </w:r>
          </w:p>
        </w:tc>
        <w:tc>
          <w:tcPr>
            <w:tcW w:w="887" w:type="pct"/>
          </w:tcPr>
          <w:p w14:paraId="4CF7F9D1" w14:textId="5000A7D7" w:rsidR="00964664" w:rsidRPr="00845F73" w:rsidRDefault="00034253" w:rsidP="00337B2B">
            <w:pPr>
              <w:jc w:val="center"/>
              <w:rPr>
                <w:rFonts w:cstheme="minorHAnsi"/>
              </w:rPr>
            </w:pPr>
            <w:r>
              <w:rPr>
                <w:rFonts w:cstheme="minorHAnsi"/>
              </w:rPr>
              <w:t>0.16</w:t>
            </w:r>
          </w:p>
        </w:tc>
        <w:tc>
          <w:tcPr>
            <w:tcW w:w="525" w:type="pct"/>
          </w:tcPr>
          <w:p w14:paraId="6037B66B" w14:textId="5D687120" w:rsidR="00964664" w:rsidRPr="00845F73" w:rsidRDefault="00034253" w:rsidP="00337B2B">
            <w:pPr>
              <w:jc w:val="center"/>
              <w:rPr>
                <w:rFonts w:cstheme="minorHAnsi"/>
              </w:rPr>
            </w:pPr>
            <w:r>
              <w:rPr>
                <w:rFonts w:cstheme="minorHAnsi"/>
              </w:rPr>
              <w:t>&lt;0.01</w:t>
            </w:r>
          </w:p>
        </w:tc>
      </w:tr>
      <w:tr w:rsidR="006813FC" w:rsidRPr="0086735D" w14:paraId="71F96B0B" w14:textId="77777777" w:rsidTr="00337B2B">
        <w:trPr>
          <w:cnfStyle w:val="000000100000" w:firstRow="0" w:lastRow="0" w:firstColumn="0" w:lastColumn="0" w:oddVBand="0" w:evenVBand="0" w:oddHBand="1" w:evenHBand="0" w:firstRowFirstColumn="0" w:firstRowLastColumn="0" w:lastRowFirstColumn="0" w:lastRowLastColumn="0"/>
        </w:trPr>
        <w:tc>
          <w:tcPr>
            <w:tcW w:w="2210" w:type="pct"/>
          </w:tcPr>
          <w:p w14:paraId="001D68F8" w14:textId="78DD0EA1" w:rsidR="006813FC" w:rsidRPr="00BF17B2" w:rsidRDefault="006813FC" w:rsidP="006813FC">
            <w:r w:rsidRPr="00FA4842">
              <w:t>Adjusted Relative Change, %</w:t>
            </w:r>
            <w:r w:rsidRPr="00FA4842">
              <w:rPr>
                <w:vertAlign w:val="superscript"/>
              </w:rPr>
              <w:t>a</w:t>
            </w:r>
          </w:p>
        </w:tc>
        <w:tc>
          <w:tcPr>
            <w:tcW w:w="1378" w:type="pct"/>
          </w:tcPr>
          <w:p w14:paraId="0350A84F" w14:textId="01AD5EC5" w:rsidR="006813FC" w:rsidRDefault="006813FC" w:rsidP="006813FC">
            <w:pPr>
              <w:jc w:val="center"/>
              <w:rPr>
                <w:rFonts w:cstheme="minorHAnsi"/>
              </w:rPr>
            </w:pPr>
            <w:r>
              <w:rPr>
                <w:rFonts w:cstheme="minorHAnsi"/>
              </w:rPr>
              <w:t>-</w:t>
            </w:r>
            <w:r w:rsidR="00983FBE">
              <w:rPr>
                <w:rFonts w:cstheme="minorHAnsi"/>
              </w:rPr>
              <w:t>24.33</w:t>
            </w:r>
            <w:r>
              <w:rPr>
                <w:rFonts w:cstheme="minorHAnsi"/>
              </w:rPr>
              <w:t xml:space="preserve"> (</w:t>
            </w:r>
            <w:r w:rsidR="00983FBE">
              <w:rPr>
                <w:rFonts w:cstheme="minorHAnsi"/>
              </w:rPr>
              <w:t xml:space="preserve">-27.62, </w:t>
            </w:r>
            <w:r w:rsidR="006C0266">
              <w:rPr>
                <w:rFonts w:cstheme="minorHAnsi"/>
              </w:rPr>
              <w:t>-21.07)</w:t>
            </w:r>
          </w:p>
        </w:tc>
        <w:tc>
          <w:tcPr>
            <w:tcW w:w="887" w:type="pct"/>
          </w:tcPr>
          <w:p w14:paraId="48558EFE" w14:textId="7791042D" w:rsidR="006813FC" w:rsidRDefault="006813FC" w:rsidP="006813FC">
            <w:pPr>
              <w:jc w:val="center"/>
              <w:rPr>
                <w:rFonts w:cstheme="minorHAnsi"/>
              </w:rPr>
            </w:pPr>
            <w:r>
              <w:rPr>
                <w:rFonts w:cstheme="minorHAnsi"/>
              </w:rPr>
              <w:t>n/a</w:t>
            </w:r>
          </w:p>
        </w:tc>
        <w:tc>
          <w:tcPr>
            <w:tcW w:w="525" w:type="pct"/>
          </w:tcPr>
          <w:p w14:paraId="155B7DE5" w14:textId="115A33C1" w:rsidR="006813FC" w:rsidRDefault="006813FC" w:rsidP="006813FC">
            <w:pPr>
              <w:jc w:val="center"/>
              <w:rPr>
                <w:rFonts w:cstheme="minorHAnsi"/>
              </w:rPr>
            </w:pPr>
            <w:r>
              <w:rPr>
                <w:rFonts w:cstheme="minorHAnsi"/>
              </w:rPr>
              <w:t>n/a</w:t>
            </w:r>
          </w:p>
        </w:tc>
      </w:tr>
      <w:tr w:rsidR="006813FC" w:rsidRPr="0086735D" w14:paraId="6C21E806" w14:textId="77777777" w:rsidTr="00337B2B">
        <w:tc>
          <w:tcPr>
            <w:tcW w:w="2210" w:type="pct"/>
          </w:tcPr>
          <w:p w14:paraId="36EC052B" w14:textId="77777777" w:rsidR="006813FC" w:rsidRPr="00845F73" w:rsidRDefault="006813FC" w:rsidP="006813FC">
            <w:pPr>
              <w:rPr>
                <w:rFonts w:cstheme="minorHAnsi"/>
                <w:bCs/>
              </w:rPr>
            </w:pPr>
            <w:r w:rsidRPr="00BF17B2">
              <w:t>Durbin-Watson Statistic</w:t>
            </w:r>
          </w:p>
        </w:tc>
        <w:tc>
          <w:tcPr>
            <w:tcW w:w="1378" w:type="pct"/>
          </w:tcPr>
          <w:p w14:paraId="178F0A08" w14:textId="26F670D6" w:rsidR="006813FC" w:rsidRPr="00845F73" w:rsidRDefault="006813FC" w:rsidP="006813FC">
            <w:pPr>
              <w:jc w:val="center"/>
              <w:rPr>
                <w:rFonts w:cstheme="minorHAnsi"/>
              </w:rPr>
            </w:pPr>
            <w:r>
              <w:rPr>
                <w:rFonts w:cstheme="minorHAnsi"/>
              </w:rPr>
              <w:t>1.68</w:t>
            </w:r>
          </w:p>
        </w:tc>
        <w:tc>
          <w:tcPr>
            <w:tcW w:w="887" w:type="pct"/>
          </w:tcPr>
          <w:p w14:paraId="65808C5A" w14:textId="77777777" w:rsidR="006813FC" w:rsidRPr="00845F73" w:rsidRDefault="006813FC" w:rsidP="006813FC">
            <w:pPr>
              <w:jc w:val="center"/>
              <w:rPr>
                <w:rFonts w:cstheme="minorHAnsi"/>
              </w:rPr>
            </w:pPr>
            <w:r>
              <w:rPr>
                <w:rFonts w:cstheme="minorHAnsi"/>
              </w:rPr>
              <w:t>n/a</w:t>
            </w:r>
          </w:p>
        </w:tc>
        <w:tc>
          <w:tcPr>
            <w:tcW w:w="525" w:type="pct"/>
          </w:tcPr>
          <w:p w14:paraId="0F95426C" w14:textId="77777777" w:rsidR="006813FC" w:rsidRPr="00845F73" w:rsidRDefault="006813FC" w:rsidP="006813FC">
            <w:pPr>
              <w:jc w:val="center"/>
              <w:rPr>
                <w:rFonts w:cstheme="minorHAnsi"/>
              </w:rPr>
            </w:pPr>
            <w:r>
              <w:rPr>
                <w:rFonts w:cstheme="minorHAnsi"/>
              </w:rPr>
              <w:t>n/a</w:t>
            </w:r>
          </w:p>
        </w:tc>
      </w:tr>
    </w:tbl>
    <w:p w14:paraId="53C7D85B" w14:textId="77777777" w:rsidR="00D416EB" w:rsidRDefault="00964664" w:rsidP="00A93DD1">
      <w:pPr>
        <w:spacing w:after="0"/>
        <w:rPr>
          <w:rFonts w:ascii="Arial" w:hAnsi="Arial" w:cs="Arial"/>
          <w:sz w:val="24"/>
          <w:szCs w:val="24"/>
        </w:rPr>
      </w:pPr>
      <w:r w:rsidRPr="00291577">
        <w:rPr>
          <w:rFonts w:ascii="Arial" w:hAnsi="Arial" w:cs="Arial"/>
          <w:sz w:val="24"/>
          <w:szCs w:val="24"/>
        </w:rPr>
        <w:t>β</w:t>
      </w:r>
      <w:r>
        <w:rPr>
          <w:rFonts w:ascii="Arial" w:hAnsi="Arial" w:cs="Arial"/>
          <w:sz w:val="24"/>
          <w:szCs w:val="24"/>
          <w:vertAlign w:val="subscript"/>
        </w:rPr>
        <w:t>4-7</w:t>
      </w:r>
      <w:r>
        <w:rPr>
          <w:rFonts w:ascii="Arial" w:hAnsi="Arial" w:cs="Arial"/>
          <w:sz w:val="24"/>
          <w:szCs w:val="24"/>
        </w:rPr>
        <w:t xml:space="preserve"> are coefficients from the controlled interrupted time series analysis model; the intercept represents the outcome at the start of the study period</w:t>
      </w:r>
      <w:r w:rsidR="00D416EB">
        <w:rPr>
          <w:rFonts w:ascii="Arial" w:hAnsi="Arial" w:cs="Arial"/>
          <w:sz w:val="24"/>
          <w:szCs w:val="24"/>
        </w:rPr>
        <w:t>;</w:t>
      </w:r>
      <w:r w:rsidR="005D6436">
        <w:rPr>
          <w:rFonts w:ascii="Arial" w:hAnsi="Arial" w:cs="Arial"/>
          <w:sz w:val="24"/>
          <w:szCs w:val="24"/>
        </w:rPr>
        <w:t xml:space="preserve"> </w:t>
      </w:r>
      <w:r w:rsidR="005D6436" w:rsidRPr="005D6436">
        <w:rPr>
          <w:rFonts w:ascii="Arial" w:hAnsi="Arial" w:cs="Arial"/>
          <w:sz w:val="24"/>
          <w:szCs w:val="24"/>
        </w:rPr>
        <w:t xml:space="preserve">the relative change is calculated compared to the predicted value at the same time point had the pre-intervention trend continued.   </w:t>
      </w:r>
    </w:p>
    <w:p w14:paraId="430B796E" w14:textId="1AD73B79" w:rsidR="00A93DD1" w:rsidRDefault="00D416EB" w:rsidP="00A93DD1">
      <w:pPr>
        <w:spacing w:after="0"/>
        <w:rPr>
          <w:rFonts w:ascii="Arial" w:hAnsi="Arial" w:cs="Arial"/>
          <w:sz w:val="24"/>
          <w:szCs w:val="24"/>
        </w:rPr>
      </w:pPr>
      <w:proofErr w:type="spellStart"/>
      <w:r w:rsidRPr="00460693">
        <w:rPr>
          <w:rFonts w:ascii="Arial" w:hAnsi="Arial" w:cs="Arial"/>
          <w:sz w:val="24"/>
          <w:szCs w:val="24"/>
          <w:vertAlign w:val="superscript"/>
        </w:rPr>
        <w:t>a</w:t>
      </w:r>
      <w:r>
        <w:rPr>
          <w:rFonts w:ascii="Arial" w:hAnsi="Arial" w:cs="Arial"/>
          <w:sz w:val="24"/>
          <w:szCs w:val="24"/>
        </w:rPr>
        <w:t>Calculated</w:t>
      </w:r>
      <w:proofErr w:type="spellEnd"/>
      <w:r>
        <w:rPr>
          <w:rFonts w:ascii="Arial" w:hAnsi="Arial" w:cs="Arial"/>
          <w:sz w:val="24"/>
          <w:szCs w:val="24"/>
        </w:rPr>
        <w:t xml:space="preserve"> at quarter 2 2020. </w:t>
      </w:r>
      <w:r w:rsidRPr="0086735D">
        <w:rPr>
          <w:rFonts w:ascii="Arial" w:hAnsi="Arial" w:cs="Arial"/>
          <w:sz w:val="24"/>
          <w:szCs w:val="24"/>
        </w:rPr>
        <w:t xml:space="preserve">95% </w:t>
      </w:r>
      <w:r>
        <w:rPr>
          <w:rFonts w:ascii="Arial" w:hAnsi="Arial" w:cs="Arial"/>
          <w:sz w:val="24"/>
          <w:szCs w:val="24"/>
        </w:rPr>
        <w:t>c</w:t>
      </w:r>
      <w:r w:rsidRPr="0086735D">
        <w:rPr>
          <w:rFonts w:ascii="Arial" w:hAnsi="Arial" w:cs="Arial"/>
          <w:sz w:val="24"/>
          <w:szCs w:val="24"/>
        </w:rPr>
        <w:t xml:space="preserve">onfidence </w:t>
      </w:r>
      <w:r>
        <w:rPr>
          <w:rFonts w:ascii="Arial" w:hAnsi="Arial" w:cs="Arial"/>
          <w:sz w:val="24"/>
          <w:szCs w:val="24"/>
        </w:rPr>
        <w:t>i</w:t>
      </w:r>
      <w:r w:rsidRPr="0086735D">
        <w:rPr>
          <w:rFonts w:ascii="Arial" w:hAnsi="Arial" w:cs="Arial"/>
          <w:sz w:val="24"/>
          <w:szCs w:val="24"/>
        </w:rPr>
        <w:t xml:space="preserve">nterval calculated using model bootstrapping </w:t>
      </w:r>
    </w:p>
    <w:p w14:paraId="448F8BFF" w14:textId="522C638B" w:rsidR="0045084C" w:rsidRPr="00E12E85" w:rsidRDefault="0045084C" w:rsidP="0045084C">
      <w:pPr>
        <w:rPr>
          <w:rFonts w:ascii="Arial" w:hAnsi="Arial" w:cs="Arial"/>
          <w:sz w:val="24"/>
          <w:szCs w:val="24"/>
        </w:rPr>
        <w:sectPr w:rsidR="0045084C" w:rsidRPr="00E12E85" w:rsidSect="00E72556">
          <w:pgSz w:w="11906" w:h="16838"/>
          <w:pgMar w:top="1440" w:right="1440" w:bottom="1440" w:left="1440" w:header="708" w:footer="708" w:gutter="0"/>
          <w:cols w:space="708"/>
          <w:docGrid w:linePitch="360"/>
        </w:sectPr>
      </w:pPr>
    </w:p>
    <w:p w14:paraId="5B8B2D09" w14:textId="49E93C92" w:rsidR="002C435F" w:rsidRDefault="002C435F" w:rsidP="002C435F">
      <w:pPr>
        <w:pStyle w:val="Heading1"/>
        <w:jc w:val="left"/>
      </w:pPr>
      <w:bookmarkStart w:id="16" w:name="_Toc114677341"/>
      <w:bookmarkStart w:id="17" w:name="_Toc114677338"/>
      <w:r>
        <w:rPr>
          <w:b/>
          <w:bCs/>
        </w:rPr>
        <w:lastRenderedPageBreak/>
        <w:t xml:space="preserve">Supplementary </w:t>
      </w:r>
      <w:r w:rsidRPr="003A1967">
        <w:rPr>
          <w:b/>
          <w:bCs/>
        </w:rPr>
        <w:t xml:space="preserve">Table </w:t>
      </w:r>
      <w:r>
        <w:rPr>
          <w:b/>
          <w:bCs/>
        </w:rPr>
        <w:t>S11</w:t>
      </w:r>
      <w:r w:rsidRPr="003A1967">
        <w:rPr>
          <w:b/>
          <w:bCs/>
        </w:rPr>
        <w:t>.</w:t>
      </w:r>
      <w:r>
        <w:t xml:space="preserve"> </w:t>
      </w:r>
      <w:r w:rsidRPr="0086735D">
        <w:t>Results of the single interrupted time series analys</w:t>
      </w:r>
      <w:r>
        <w:t>e</w:t>
      </w:r>
      <w:r w:rsidRPr="0086735D">
        <w:t xml:space="preserve">s </w:t>
      </w:r>
      <w:r w:rsidRPr="00181D91">
        <w:t xml:space="preserve">of </w:t>
      </w:r>
      <w:r>
        <w:t>strong</w:t>
      </w:r>
      <w:r w:rsidRPr="00460B77">
        <w:rPr>
          <w:vertAlign w:val="superscript"/>
        </w:rPr>
        <w:t>1</w:t>
      </w:r>
      <w:r w:rsidRPr="00181D91">
        <w:t xml:space="preserve"> opioid</w:t>
      </w:r>
      <w:r w:rsidRPr="0086735D">
        <w:t xml:space="preserve"> </w:t>
      </w:r>
      <w:r>
        <w:t>p</w:t>
      </w:r>
      <w:r w:rsidRPr="0086735D">
        <w:t xml:space="preserve">rescribing </w:t>
      </w:r>
      <w:r>
        <w:t>rates</w:t>
      </w:r>
      <w:r w:rsidRPr="0086735D">
        <w:t xml:space="preserve"> </w:t>
      </w:r>
      <w:r>
        <w:t>in</w:t>
      </w:r>
      <w:r w:rsidRPr="0086735D">
        <w:t xml:space="preserve"> Scotland</w:t>
      </w:r>
      <w:r>
        <w:t xml:space="preserve"> (without buprenorphine, buprenorphine and naloxone and methadone hydrochloride)</w:t>
      </w:r>
      <w:bookmarkEnd w:id="16"/>
    </w:p>
    <w:tbl>
      <w:tblPr>
        <w:tblStyle w:val="PlainTable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314"/>
        <w:gridCol w:w="2865"/>
        <w:gridCol w:w="1780"/>
        <w:gridCol w:w="1057"/>
      </w:tblGrid>
      <w:tr w:rsidR="002C435F" w:rsidRPr="00845F73" w14:paraId="5B0F754A" w14:textId="77777777" w:rsidTr="00D70684">
        <w:trPr>
          <w:cnfStyle w:val="000000100000" w:firstRow="0" w:lastRow="0" w:firstColumn="0" w:lastColumn="0" w:oddVBand="0" w:evenVBand="0" w:oddHBand="1" w:evenHBand="0" w:firstRowFirstColumn="0" w:firstRowLastColumn="0" w:lastRowFirstColumn="0" w:lastRowLastColumn="0"/>
        </w:trPr>
        <w:tc>
          <w:tcPr>
            <w:tcW w:w="1838" w:type="pct"/>
            <w:shd w:val="clear" w:color="auto" w:fill="D9E2F3" w:themeFill="accent1" w:themeFillTint="33"/>
            <w:vAlign w:val="center"/>
          </w:tcPr>
          <w:p w14:paraId="054B8704" w14:textId="77777777" w:rsidR="002C435F" w:rsidRPr="00845F73" w:rsidRDefault="002C435F" w:rsidP="00D70684">
            <w:pPr>
              <w:jc w:val="center"/>
              <w:rPr>
                <w:rFonts w:cstheme="minorHAnsi"/>
                <w:b/>
              </w:rPr>
            </w:pPr>
            <w:bookmarkStart w:id="18" w:name="_Hlk80102244"/>
          </w:p>
        </w:tc>
        <w:tc>
          <w:tcPr>
            <w:tcW w:w="1589" w:type="pct"/>
            <w:shd w:val="clear" w:color="auto" w:fill="D9E2F3" w:themeFill="accent1" w:themeFillTint="33"/>
            <w:vAlign w:val="center"/>
          </w:tcPr>
          <w:p w14:paraId="3D8768A3" w14:textId="77777777" w:rsidR="002C435F" w:rsidRPr="00845F73" w:rsidRDefault="002C435F" w:rsidP="00D70684">
            <w:pPr>
              <w:jc w:val="center"/>
              <w:rPr>
                <w:rFonts w:cstheme="minorHAnsi"/>
                <w:b/>
              </w:rPr>
            </w:pPr>
            <w:r w:rsidRPr="00845F73">
              <w:rPr>
                <w:rFonts w:cstheme="minorHAnsi"/>
                <w:b/>
              </w:rPr>
              <w:t>Estimate</w:t>
            </w:r>
          </w:p>
          <w:p w14:paraId="0EC61A4C" w14:textId="77777777" w:rsidR="002C435F" w:rsidRPr="00845F73" w:rsidRDefault="002C435F" w:rsidP="00D70684">
            <w:pPr>
              <w:jc w:val="center"/>
              <w:rPr>
                <w:rFonts w:cstheme="minorHAnsi"/>
                <w:b/>
              </w:rPr>
            </w:pPr>
            <w:r w:rsidRPr="00845F73">
              <w:rPr>
                <w:rFonts w:cstheme="minorHAnsi"/>
                <w:b/>
              </w:rPr>
              <w:t>(95% Confidence Interval)</w:t>
            </w:r>
          </w:p>
        </w:tc>
        <w:tc>
          <w:tcPr>
            <w:tcW w:w="987" w:type="pct"/>
            <w:shd w:val="clear" w:color="auto" w:fill="D9E2F3" w:themeFill="accent1" w:themeFillTint="33"/>
            <w:vAlign w:val="center"/>
          </w:tcPr>
          <w:p w14:paraId="60EB8A5B" w14:textId="77777777" w:rsidR="002C435F" w:rsidRPr="00845F73" w:rsidRDefault="002C435F" w:rsidP="00D70684">
            <w:pPr>
              <w:jc w:val="center"/>
              <w:rPr>
                <w:rFonts w:cstheme="minorHAnsi"/>
                <w:b/>
              </w:rPr>
            </w:pPr>
            <w:r w:rsidRPr="00845F73">
              <w:rPr>
                <w:rFonts w:cstheme="minorHAnsi"/>
                <w:b/>
              </w:rPr>
              <w:t>Standard Error</w:t>
            </w:r>
          </w:p>
        </w:tc>
        <w:tc>
          <w:tcPr>
            <w:tcW w:w="586" w:type="pct"/>
            <w:shd w:val="clear" w:color="auto" w:fill="D9E2F3" w:themeFill="accent1" w:themeFillTint="33"/>
            <w:vAlign w:val="center"/>
          </w:tcPr>
          <w:p w14:paraId="4727C077" w14:textId="77777777" w:rsidR="002C435F" w:rsidRPr="00845F73" w:rsidRDefault="002C435F" w:rsidP="00D70684">
            <w:pPr>
              <w:jc w:val="center"/>
              <w:rPr>
                <w:rFonts w:cstheme="minorHAnsi"/>
                <w:b/>
              </w:rPr>
            </w:pPr>
            <w:r w:rsidRPr="00845F73">
              <w:rPr>
                <w:rFonts w:cstheme="minorHAnsi"/>
                <w:b/>
              </w:rPr>
              <w:t>P value</w:t>
            </w:r>
          </w:p>
        </w:tc>
      </w:tr>
      <w:tr w:rsidR="002C435F" w:rsidRPr="00845F73" w14:paraId="099AB1E8" w14:textId="77777777" w:rsidTr="00D70684">
        <w:tc>
          <w:tcPr>
            <w:tcW w:w="1838" w:type="pct"/>
          </w:tcPr>
          <w:p w14:paraId="7B136C79" w14:textId="77777777" w:rsidR="002C435F" w:rsidRPr="00845F73" w:rsidRDefault="002C435F" w:rsidP="00D70684">
            <w:pPr>
              <w:rPr>
                <w:rFonts w:cstheme="minorHAnsi"/>
              </w:rPr>
            </w:pPr>
            <w:r w:rsidRPr="00845F73">
              <w:rPr>
                <w:rFonts w:cstheme="minorHAnsi"/>
              </w:rPr>
              <w:t>Intercept, β</w:t>
            </w:r>
            <w:r w:rsidRPr="00845F73">
              <w:rPr>
                <w:rFonts w:cstheme="minorHAnsi"/>
                <w:vertAlign w:val="subscript"/>
              </w:rPr>
              <w:t>0</w:t>
            </w:r>
          </w:p>
        </w:tc>
        <w:tc>
          <w:tcPr>
            <w:tcW w:w="1589" w:type="pct"/>
            <w:vAlign w:val="center"/>
          </w:tcPr>
          <w:p w14:paraId="333560EF" w14:textId="77777777" w:rsidR="002C435F" w:rsidRPr="00845F73" w:rsidRDefault="002C435F" w:rsidP="00D70684">
            <w:pPr>
              <w:jc w:val="center"/>
              <w:rPr>
                <w:rFonts w:cstheme="minorHAnsi"/>
              </w:rPr>
            </w:pPr>
            <w:r>
              <w:rPr>
                <w:rFonts w:cstheme="minorHAnsi"/>
              </w:rPr>
              <w:t>11.24 (10.61, 11.87)</w:t>
            </w:r>
          </w:p>
        </w:tc>
        <w:tc>
          <w:tcPr>
            <w:tcW w:w="987" w:type="pct"/>
            <w:vAlign w:val="center"/>
          </w:tcPr>
          <w:p w14:paraId="21D477C9" w14:textId="77777777" w:rsidR="002C435F" w:rsidRPr="00845F73" w:rsidRDefault="002C435F" w:rsidP="00D70684">
            <w:pPr>
              <w:jc w:val="center"/>
              <w:rPr>
                <w:rFonts w:cstheme="minorHAnsi"/>
              </w:rPr>
            </w:pPr>
            <w:r>
              <w:rPr>
                <w:rFonts w:cstheme="minorHAnsi"/>
              </w:rPr>
              <w:t>0.32</w:t>
            </w:r>
          </w:p>
        </w:tc>
        <w:tc>
          <w:tcPr>
            <w:tcW w:w="586" w:type="pct"/>
            <w:vAlign w:val="center"/>
          </w:tcPr>
          <w:p w14:paraId="6F040E04" w14:textId="77777777" w:rsidR="002C435F" w:rsidRPr="00845F73" w:rsidRDefault="002C435F" w:rsidP="00D70684">
            <w:pPr>
              <w:jc w:val="center"/>
              <w:rPr>
                <w:rFonts w:cstheme="minorHAnsi"/>
              </w:rPr>
            </w:pPr>
            <w:r>
              <w:rPr>
                <w:rFonts w:cstheme="minorHAnsi"/>
              </w:rPr>
              <w:t>&lt;0.01</w:t>
            </w:r>
          </w:p>
        </w:tc>
      </w:tr>
      <w:tr w:rsidR="002C435F" w:rsidRPr="00845F73" w14:paraId="695CA219" w14:textId="77777777" w:rsidTr="00D70684">
        <w:trPr>
          <w:cnfStyle w:val="000000100000" w:firstRow="0" w:lastRow="0" w:firstColumn="0" w:lastColumn="0" w:oddVBand="0" w:evenVBand="0" w:oddHBand="1" w:evenHBand="0" w:firstRowFirstColumn="0" w:firstRowLastColumn="0" w:lastRowFirstColumn="0" w:lastRowLastColumn="0"/>
        </w:trPr>
        <w:tc>
          <w:tcPr>
            <w:tcW w:w="1838" w:type="pct"/>
          </w:tcPr>
          <w:p w14:paraId="0EA7CDE7" w14:textId="77777777" w:rsidR="002C435F" w:rsidRPr="00845F73" w:rsidRDefault="002C435F" w:rsidP="00D70684">
            <w:pPr>
              <w:rPr>
                <w:rFonts w:cstheme="minorHAnsi"/>
              </w:rPr>
            </w:pPr>
            <w:r w:rsidRPr="00845F73">
              <w:rPr>
                <w:rFonts w:cstheme="minorHAnsi"/>
              </w:rPr>
              <w:t>Pre-Intervention Trend, β</w:t>
            </w:r>
            <w:r w:rsidRPr="00845F73">
              <w:rPr>
                <w:rFonts w:cstheme="minorHAnsi"/>
                <w:vertAlign w:val="subscript"/>
              </w:rPr>
              <w:t>1</w:t>
            </w:r>
          </w:p>
        </w:tc>
        <w:tc>
          <w:tcPr>
            <w:tcW w:w="1589" w:type="pct"/>
            <w:vAlign w:val="center"/>
          </w:tcPr>
          <w:p w14:paraId="5692C85F" w14:textId="77777777" w:rsidR="002C435F" w:rsidRPr="00845F73" w:rsidRDefault="002C435F" w:rsidP="00D70684">
            <w:pPr>
              <w:jc w:val="center"/>
              <w:rPr>
                <w:rFonts w:cstheme="minorHAnsi"/>
              </w:rPr>
            </w:pPr>
            <w:r>
              <w:rPr>
                <w:rFonts w:cstheme="minorHAnsi"/>
              </w:rPr>
              <w:t>0.63 (0.60, 0.66)</w:t>
            </w:r>
          </w:p>
        </w:tc>
        <w:tc>
          <w:tcPr>
            <w:tcW w:w="987" w:type="pct"/>
            <w:vAlign w:val="center"/>
          </w:tcPr>
          <w:p w14:paraId="581DB9DB" w14:textId="77777777" w:rsidR="002C435F" w:rsidRPr="00845F73" w:rsidRDefault="002C435F" w:rsidP="00D70684">
            <w:pPr>
              <w:jc w:val="center"/>
              <w:rPr>
                <w:rFonts w:cstheme="minorHAnsi"/>
              </w:rPr>
            </w:pPr>
            <w:r>
              <w:rPr>
                <w:rFonts w:cstheme="minorHAnsi"/>
              </w:rPr>
              <w:t>0.01</w:t>
            </w:r>
          </w:p>
        </w:tc>
        <w:tc>
          <w:tcPr>
            <w:tcW w:w="586" w:type="pct"/>
            <w:vAlign w:val="center"/>
          </w:tcPr>
          <w:p w14:paraId="076FDC21" w14:textId="77777777" w:rsidR="002C435F" w:rsidRPr="00845F73" w:rsidRDefault="002C435F" w:rsidP="00D70684">
            <w:pPr>
              <w:jc w:val="center"/>
              <w:rPr>
                <w:rFonts w:cstheme="minorHAnsi"/>
              </w:rPr>
            </w:pPr>
            <w:r>
              <w:rPr>
                <w:rFonts w:cstheme="minorHAnsi"/>
              </w:rPr>
              <w:t>&lt;0.01</w:t>
            </w:r>
          </w:p>
        </w:tc>
      </w:tr>
      <w:tr w:rsidR="002C435F" w:rsidRPr="00845F73" w14:paraId="41720967" w14:textId="77777777" w:rsidTr="00D70684">
        <w:tc>
          <w:tcPr>
            <w:tcW w:w="1838" w:type="pct"/>
            <w:vAlign w:val="center"/>
          </w:tcPr>
          <w:p w14:paraId="21C37732" w14:textId="77777777" w:rsidR="002C435F" w:rsidRPr="00845F73" w:rsidRDefault="002C435F" w:rsidP="00D70684">
            <w:pPr>
              <w:rPr>
                <w:rFonts w:cstheme="minorHAnsi"/>
              </w:rPr>
            </w:pPr>
            <w:r w:rsidRPr="00845F73">
              <w:rPr>
                <w:rFonts w:cstheme="minorHAnsi"/>
              </w:rPr>
              <w:t>Change in Level, β</w:t>
            </w:r>
            <w:r w:rsidRPr="00845F73">
              <w:rPr>
                <w:rFonts w:cstheme="minorHAnsi"/>
                <w:vertAlign w:val="subscript"/>
              </w:rPr>
              <w:t>2</w:t>
            </w:r>
          </w:p>
        </w:tc>
        <w:tc>
          <w:tcPr>
            <w:tcW w:w="1589" w:type="pct"/>
            <w:vAlign w:val="center"/>
          </w:tcPr>
          <w:p w14:paraId="62C07208" w14:textId="77777777" w:rsidR="002C435F" w:rsidRPr="00845F73" w:rsidRDefault="002C435F" w:rsidP="00D70684">
            <w:pPr>
              <w:jc w:val="center"/>
              <w:rPr>
                <w:rFonts w:cstheme="minorHAnsi"/>
              </w:rPr>
            </w:pPr>
            <w:r>
              <w:rPr>
                <w:rFonts w:cstheme="minorHAnsi"/>
              </w:rPr>
              <w:t>1.83 (0.86, 2.80)</w:t>
            </w:r>
          </w:p>
        </w:tc>
        <w:tc>
          <w:tcPr>
            <w:tcW w:w="987" w:type="pct"/>
            <w:vAlign w:val="center"/>
          </w:tcPr>
          <w:p w14:paraId="0BE397F1" w14:textId="77777777" w:rsidR="002C435F" w:rsidRPr="00845F73" w:rsidRDefault="002C435F" w:rsidP="00D70684">
            <w:pPr>
              <w:jc w:val="center"/>
              <w:rPr>
                <w:rFonts w:cstheme="minorHAnsi"/>
              </w:rPr>
            </w:pPr>
            <w:r>
              <w:rPr>
                <w:rFonts w:cstheme="minorHAnsi"/>
              </w:rPr>
              <w:t>0.48</w:t>
            </w:r>
          </w:p>
        </w:tc>
        <w:tc>
          <w:tcPr>
            <w:tcW w:w="586" w:type="pct"/>
            <w:vAlign w:val="center"/>
          </w:tcPr>
          <w:p w14:paraId="3548B5C5" w14:textId="77777777" w:rsidR="002C435F" w:rsidRPr="00845F73" w:rsidRDefault="002C435F" w:rsidP="00D70684">
            <w:pPr>
              <w:jc w:val="center"/>
              <w:rPr>
                <w:rFonts w:cstheme="minorHAnsi"/>
              </w:rPr>
            </w:pPr>
            <w:r>
              <w:rPr>
                <w:rFonts w:cstheme="minorHAnsi"/>
              </w:rPr>
              <w:t>&lt;0.01</w:t>
            </w:r>
          </w:p>
        </w:tc>
      </w:tr>
      <w:tr w:rsidR="002C435F" w:rsidRPr="00845F73" w14:paraId="5FE0F8E1" w14:textId="77777777" w:rsidTr="00D70684">
        <w:trPr>
          <w:cnfStyle w:val="000000100000" w:firstRow="0" w:lastRow="0" w:firstColumn="0" w:lastColumn="0" w:oddVBand="0" w:evenVBand="0" w:oddHBand="1" w:evenHBand="0" w:firstRowFirstColumn="0" w:firstRowLastColumn="0" w:lastRowFirstColumn="0" w:lastRowLastColumn="0"/>
        </w:trPr>
        <w:tc>
          <w:tcPr>
            <w:tcW w:w="1838" w:type="pct"/>
          </w:tcPr>
          <w:p w14:paraId="4EDF8F28" w14:textId="77777777" w:rsidR="002C435F" w:rsidRPr="00845F73" w:rsidRDefault="002C435F" w:rsidP="00D70684">
            <w:pPr>
              <w:rPr>
                <w:rFonts w:cstheme="minorHAnsi"/>
              </w:rPr>
            </w:pPr>
            <w:r w:rsidRPr="00845F73">
              <w:rPr>
                <w:rFonts w:cstheme="minorHAnsi"/>
              </w:rPr>
              <w:t>Change in Trend, β</w:t>
            </w:r>
            <w:r w:rsidRPr="00845F73">
              <w:rPr>
                <w:rFonts w:cstheme="minorHAnsi"/>
                <w:vertAlign w:val="subscript"/>
              </w:rPr>
              <w:t>3</w:t>
            </w:r>
          </w:p>
        </w:tc>
        <w:tc>
          <w:tcPr>
            <w:tcW w:w="1589" w:type="pct"/>
            <w:vAlign w:val="center"/>
          </w:tcPr>
          <w:p w14:paraId="7183CA18" w14:textId="77777777" w:rsidR="002C435F" w:rsidRPr="00845F73" w:rsidRDefault="002C435F" w:rsidP="00D70684">
            <w:pPr>
              <w:jc w:val="center"/>
              <w:rPr>
                <w:rFonts w:cstheme="minorHAnsi"/>
              </w:rPr>
            </w:pPr>
            <w:r>
              <w:rPr>
                <w:rFonts w:cstheme="minorHAnsi"/>
              </w:rPr>
              <w:t>-0.24 (-0.30, -0.19)</w:t>
            </w:r>
          </w:p>
        </w:tc>
        <w:tc>
          <w:tcPr>
            <w:tcW w:w="987" w:type="pct"/>
            <w:vAlign w:val="center"/>
          </w:tcPr>
          <w:p w14:paraId="67ECEF61" w14:textId="77777777" w:rsidR="002C435F" w:rsidRPr="00845F73" w:rsidRDefault="002C435F" w:rsidP="00D70684">
            <w:pPr>
              <w:jc w:val="center"/>
              <w:rPr>
                <w:rFonts w:cstheme="minorHAnsi"/>
              </w:rPr>
            </w:pPr>
            <w:r>
              <w:rPr>
                <w:rFonts w:cstheme="minorHAnsi"/>
              </w:rPr>
              <w:t>0.03</w:t>
            </w:r>
          </w:p>
        </w:tc>
        <w:tc>
          <w:tcPr>
            <w:tcW w:w="586" w:type="pct"/>
            <w:vAlign w:val="center"/>
          </w:tcPr>
          <w:p w14:paraId="07A85567" w14:textId="77777777" w:rsidR="002C435F" w:rsidRPr="00845F73" w:rsidRDefault="002C435F" w:rsidP="00D70684">
            <w:pPr>
              <w:jc w:val="center"/>
              <w:rPr>
                <w:rFonts w:cstheme="minorHAnsi"/>
              </w:rPr>
            </w:pPr>
            <w:r>
              <w:rPr>
                <w:rFonts w:cstheme="minorHAnsi"/>
              </w:rPr>
              <w:t>&lt;0.01</w:t>
            </w:r>
          </w:p>
        </w:tc>
      </w:tr>
      <w:tr w:rsidR="002C435F" w:rsidRPr="00845F73" w14:paraId="177650C4" w14:textId="77777777" w:rsidTr="00D70684">
        <w:tc>
          <w:tcPr>
            <w:tcW w:w="1838" w:type="pct"/>
          </w:tcPr>
          <w:p w14:paraId="54B8ACE0" w14:textId="77777777" w:rsidR="002C435F" w:rsidRPr="00845F73" w:rsidRDefault="002C435F" w:rsidP="00D70684">
            <w:pPr>
              <w:rPr>
                <w:rFonts w:cstheme="minorHAnsi"/>
                <w:bCs/>
              </w:rPr>
            </w:pPr>
            <w:r w:rsidRPr="00845F73">
              <w:rPr>
                <w:rFonts w:cstheme="minorHAnsi"/>
                <w:bCs/>
              </w:rPr>
              <w:t xml:space="preserve">Post-Intervention Trend, </w:t>
            </w:r>
            <w:r w:rsidRPr="00845F73">
              <w:rPr>
                <w:rFonts w:cstheme="minorHAnsi"/>
              </w:rPr>
              <w:t>β</w:t>
            </w:r>
            <w:r w:rsidRPr="00845F73">
              <w:rPr>
                <w:rFonts w:cstheme="minorHAnsi"/>
                <w:vertAlign w:val="subscript"/>
              </w:rPr>
              <w:t>1+3</w:t>
            </w:r>
          </w:p>
        </w:tc>
        <w:tc>
          <w:tcPr>
            <w:tcW w:w="1589" w:type="pct"/>
          </w:tcPr>
          <w:p w14:paraId="4BCCDEBF" w14:textId="77777777" w:rsidR="002C435F" w:rsidRPr="00845F73" w:rsidRDefault="002C435F" w:rsidP="00D70684">
            <w:pPr>
              <w:jc w:val="center"/>
              <w:rPr>
                <w:rFonts w:cstheme="minorHAnsi"/>
              </w:rPr>
            </w:pPr>
            <w:r>
              <w:rPr>
                <w:rFonts w:cstheme="minorHAnsi"/>
              </w:rPr>
              <w:t>0.39 (0.32, 0.46)</w:t>
            </w:r>
          </w:p>
        </w:tc>
        <w:tc>
          <w:tcPr>
            <w:tcW w:w="987" w:type="pct"/>
          </w:tcPr>
          <w:p w14:paraId="0D8A2945" w14:textId="77777777" w:rsidR="002C435F" w:rsidRPr="00845F73" w:rsidRDefault="002C435F" w:rsidP="00D70684">
            <w:pPr>
              <w:jc w:val="center"/>
              <w:rPr>
                <w:rFonts w:cstheme="minorHAnsi"/>
              </w:rPr>
            </w:pPr>
            <w:r>
              <w:rPr>
                <w:rFonts w:cstheme="minorHAnsi"/>
              </w:rPr>
              <w:t>0.03</w:t>
            </w:r>
          </w:p>
        </w:tc>
        <w:tc>
          <w:tcPr>
            <w:tcW w:w="586" w:type="pct"/>
          </w:tcPr>
          <w:p w14:paraId="085DF46B" w14:textId="77777777" w:rsidR="002C435F" w:rsidRPr="00845F73" w:rsidRDefault="002C435F" w:rsidP="00D70684">
            <w:pPr>
              <w:jc w:val="center"/>
              <w:rPr>
                <w:rFonts w:cstheme="minorHAnsi"/>
              </w:rPr>
            </w:pPr>
            <w:r>
              <w:rPr>
                <w:rFonts w:cstheme="minorHAnsi"/>
              </w:rPr>
              <w:t>&lt;0.01</w:t>
            </w:r>
          </w:p>
        </w:tc>
      </w:tr>
      <w:tr w:rsidR="002C435F" w:rsidRPr="00845F73" w14:paraId="471C26DC" w14:textId="77777777" w:rsidTr="00D70684">
        <w:trPr>
          <w:cnfStyle w:val="000000100000" w:firstRow="0" w:lastRow="0" w:firstColumn="0" w:lastColumn="0" w:oddVBand="0" w:evenVBand="0" w:oddHBand="1" w:evenHBand="0" w:firstRowFirstColumn="0" w:firstRowLastColumn="0" w:lastRowFirstColumn="0" w:lastRowLastColumn="0"/>
        </w:trPr>
        <w:tc>
          <w:tcPr>
            <w:tcW w:w="1838" w:type="pct"/>
          </w:tcPr>
          <w:p w14:paraId="310522E8" w14:textId="77777777" w:rsidR="002C435F" w:rsidRPr="00845F73" w:rsidRDefault="002C435F" w:rsidP="00D70684">
            <w:pPr>
              <w:rPr>
                <w:rFonts w:cstheme="minorHAnsi"/>
                <w:bCs/>
              </w:rPr>
            </w:pPr>
            <w:r w:rsidRPr="00845F73">
              <w:rPr>
                <w:rFonts w:cstheme="minorHAnsi"/>
                <w:bCs/>
              </w:rPr>
              <w:t xml:space="preserve">Relative </w:t>
            </w:r>
            <w:r>
              <w:rPr>
                <w:rFonts w:cstheme="minorHAnsi"/>
                <w:bCs/>
              </w:rPr>
              <w:t>Change</w:t>
            </w:r>
            <w:r w:rsidRPr="00845F73">
              <w:rPr>
                <w:rFonts w:cstheme="minorHAnsi"/>
                <w:bCs/>
              </w:rPr>
              <w:t>, %</w:t>
            </w:r>
            <w:r>
              <w:rPr>
                <w:rFonts w:cstheme="minorHAnsi"/>
                <w:bCs/>
                <w:vertAlign w:val="superscript"/>
              </w:rPr>
              <w:t>a</w:t>
            </w:r>
          </w:p>
        </w:tc>
        <w:tc>
          <w:tcPr>
            <w:tcW w:w="1589" w:type="pct"/>
          </w:tcPr>
          <w:p w14:paraId="2D18DE7F" w14:textId="77777777" w:rsidR="002C435F" w:rsidRPr="00845F73" w:rsidRDefault="002C435F" w:rsidP="00D70684">
            <w:pPr>
              <w:jc w:val="center"/>
              <w:rPr>
                <w:rFonts w:cstheme="minorHAnsi"/>
              </w:rPr>
            </w:pPr>
            <w:r>
              <w:rPr>
                <w:rFonts w:cstheme="minorHAnsi"/>
              </w:rPr>
              <w:t>-8.96 (-11.24, -6.13)</w:t>
            </w:r>
          </w:p>
        </w:tc>
        <w:tc>
          <w:tcPr>
            <w:tcW w:w="987" w:type="pct"/>
          </w:tcPr>
          <w:p w14:paraId="2E1C7B2A" w14:textId="77777777" w:rsidR="002C435F" w:rsidRPr="00845F73" w:rsidRDefault="002C435F" w:rsidP="00D70684">
            <w:pPr>
              <w:jc w:val="center"/>
              <w:rPr>
                <w:rFonts w:cstheme="minorHAnsi"/>
              </w:rPr>
            </w:pPr>
            <w:r>
              <w:rPr>
                <w:rFonts w:cstheme="minorHAnsi"/>
              </w:rPr>
              <w:t>n/a</w:t>
            </w:r>
          </w:p>
        </w:tc>
        <w:tc>
          <w:tcPr>
            <w:tcW w:w="586" w:type="pct"/>
          </w:tcPr>
          <w:p w14:paraId="15ADC99C" w14:textId="77777777" w:rsidR="002C435F" w:rsidRPr="00845F73" w:rsidRDefault="002C435F" w:rsidP="00D70684">
            <w:pPr>
              <w:jc w:val="center"/>
              <w:rPr>
                <w:rFonts w:cstheme="minorHAnsi"/>
              </w:rPr>
            </w:pPr>
            <w:r>
              <w:rPr>
                <w:rFonts w:cstheme="minorHAnsi"/>
              </w:rPr>
              <w:t>n/a</w:t>
            </w:r>
          </w:p>
        </w:tc>
      </w:tr>
      <w:tr w:rsidR="002C435F" w:rsidRPr="00845F73" w14:paraId="53C4F910" w14:textId="77777777" w:rsidTr="00D70684">
        <w:tc>
          <w:tcPr>
            <w:tcW w:w="1838" w:type="pct"/>
          </w:tcPr>
          <w:p w14:paraId="1E0BA0D0" w14:textId="77777777" w:rsidR="002C435F" w:rsidRPr="00BF17B2" w:rsidRDefault="002C435F" w:rsidP="00D70684">
            <w:r w:rsidRPr="00845F73">
              <w:rPr>
                <w:rFonts w:cstheme="minorHAnsi"/>
                <w:bCs/>
              </w:rPr>
              <w:t>Durbin-Watson Statistic</w:t>
            </w:r>
          </w:p>
        </w:tc>
        <w:tc>
          <w:tcPr>
            <w:tcW w:w="1589" w:type="pct"/>
          </w:tcPr>
          <w:p w14:paraId="3F250BB4" w14:textId="77777777" w:rsidR="002C435F" w:rsidRPr="00845F73" w:rsidRDefault="002C435F" w:rsidP="00D70684">
            <w:pPr>
              <w:jc w:val="center"/>
              <w:rPr>
                <w:rFonts w:cstheme="minorHAnsi"/>
              </w:rPr>
            </w:pPr>
            <w:r>
              <w:rPr>
                <w:rFonts w:cstheme="minorHAnsi"/>
              </w:rPr>
              <w:t>1.83</w:t>
            </w:r>
          </w:p>
        </w:tc>
        <w:tc>
          <w:tcPr>
            <w:tcW w:w="987" w:type="pct"/>
          </w:tcPr>
          <w:p w14:paraId="0B3EBE74" w14:textId="77777777" w:rsidR="002C435F" w:rsidRPr="00845F73" w:rsidRDefault="002C435F" w:rsidP="00D70684">
            <w:pPr>
              <w:jc w:val="center"/>
              <w:rPr>
                <w:rFonts w:cstheme="minorHAnsi"/>
              </w:rPr>
            </w:pPr>
            <w:r>
              <w:rPr>
                <w:rFonts w:cstheme="minorHAnsi"/>
              </w:rPr>
              <w:t>n/a</w:t>
            </w:r>
          </w:p>
        </w:tc>
        <w:tc>
          <w:tcPr>
            <w:tcW w:w="586" w:type="pct"/>
          </w:tcPr>
          <w:p w14:paraId="011D1540" w14:textId="77777777" w:rsidR="002C435F" w:rsidRPr="00845F73" w:rsidRDefault="002C435F" w:rsidP="00D70684">
            <w:pPr>
              <w:jc w:val="center"/>
              <w:rPr>
                <w:rFonts w:cstheme="minorHAnsi"/>
              </w:rPr>
            </w:pPr>
            <w:r>
              <w:rPr>
                <w:rFonts w:cstheme="minorHAnsi"/>
              </w:rPr>
              <w:t>n/a</w:t>
            </w:r>
          </w:p>
        </w:tc>
      </w:tr>
    </w:tbl>
    <w:p w14:paraId="4693B939" w14:textId="77777777" w:rsidR="002C435F" w:rsidRDefault="002C435F" w:rsidP="002C435F">
      <w:pPr>
        <w:spacing w:after="0"/>
        <w:rPr>
          <w:rFonts w:ascii="Arial" w:hAnsi="Arial" w:cs="Arial"/>
          <w:sz w:val="24"/>
          <w:szCs w:val="24"/>
        </w:rPr>
      </w:pPr>
      <w:r w:rsidRPr="00291577">
        <w:rPr>
          <w:rFonts w:ascii="Arial" w:hAnsi="Arial" w:cs="Arial"/>
          <w:sz w:val="24"/>
          <w:szCs w:val="24"/>
        </w:rPr>
        <w:t>β</w:t>
      </w:r>
      <w:r w:rsidRPr="00291577">
        <w:rPr>
          <w:rFonts w:ascii="Arial" w:hAnsi="Arial" w:cs="Arial"/>
          <w:sz w:val="24"/>
          <w:szCs w:val="24"/>
          <w:vertAlign w:val="subscript"/>
        </w:rPr>
        <w:t>0-3</w:t>
      </w:r>
      <w:r>
        <w:rPr>
          <w:rFonts w:ascii="Arial" w:hAnsi="Arial" w:cs="Arial"/>
          <w:sz w:val="24"/>
          <w:szCs w:val="24"/>
        </w:rPr>
        <w:t xml:space="preserve"> are coefficients from the single-group interrupted time series analysis model; the intercept represents the outcome at the start of the study period; the relative change is calculated compared to the predicted value at the same time point had the pre-intervention trend continued.    </w:t>
      </w:r>
      <w:r w:rsidRPr="0086735D">
        <w:rPr>
          <w:rFonts w:ascii="Arial" w:hAnsi="Arial" w:cs="Arial"/>
          <w:sz w:val="24"/>
          <w:szCs w:val="24"/>
        </w:rPr>
        <w:t xml:space="preserve"> </w:t>
      </w:r>
    </w:p>
    <w:p w14:paraId="2C359FEB" w14:textId="77777777" w:rsidR="002C435F" w:rsidRPr="00215C4A" w:rsidRDefault="002C435F" w:rsidP="002C435F">
      <w:pPr>
        <w:spacing w:after="0"/>
        <w:rPr>
          <w:rFonts w:ascii="Arial" w:hAnsi="Arial" w:cs="Arial"/>
          <w:sz w:val="24"/>
          <w:szCs w:val="24"/>
        </w:rPr>
      </w:pPr>
      <w:r>
        <w:rPr>
          <w:rFonts w:ascii="Arial" w:hAnsi="Arial" w:cs="Arial"/>
          <w:sz w:val="24"/>
          <w:szCs w:val="24"/>
          <w:vertAlign w:val="superscript"/>
        </w:rPr>
        <w:t>1</w:t>
      </w:r>
      <w:r>
        <w:rPr>
          <w:rFonts w:ascii="Arial" w:hAnsi="Arial" w:cs="Arial"/>
          <w:sz w:val="24"/>
          <w:szCs w:val="24"/>
        </w:rPr>
        <w:t xml:space="preserve">Strong opioids are the following and their compounds: diamorphine, dipipanone, fentanyl, hydromorphone, morphine, oxycodone, papaveretum, pentazocine, pethidine and </w:t>
      </w:r>
      <w:proofErr w:type="spellStart"/>
      <w:r>
        <w:rPr>
          <w:rFonts w:ascii="Arial" w:hAnsi="Arial" w:cs="Arial"/>
          <w:sz w:val="24"/>
          <w:szCs w:val="24"/>
        </w:rPr>
        <w:t>tapentadol</w:t>
      </w:r>
      <w:proofErr w:type="spellEnd"/>
      <w:r>
        <w:rPr>
          <w:rFonts w:ascii="Arial" w:hAnsi="Arial" w:cs="Arial"/>
          <w:sz w:val="24"/>
          <w:szCs w:val="24"/>
        </w:rPr>
        <w:t xml:space="preserve">  </w:t>
      </w:r>
    </w:p>
    <w:bookmarkEnd w:id="18"/>
    <w:p w14:paraId="2044B68A" w14:textId="77777777" w:rsidR="002C435F" w:rsidRDefault="002C435F" w:rsidP="002C435F">
      <w:pPr>
        <w:spacing w:after="0"/>
        <w:sectPr w:rsidR="002C435F" w:rsidSect="00756719">
          <w:pgSz w:w="11906" w:h="16838"/>
          <w:pgMar w:top="1135" w:right="1440" w:bottom="993" w:left="1440" w:header="708" w:footer="708" w:gutter="0"/>
          <w:cols w:space="708"/>
          <w:docGrid w:linePitch="360"/>
        </w:sectPr>
      </w:pPr>
      <w:proofErr w:type="spellStart"/>
      <w:r w:rsidRPr="00460693">
        <w:rPr>
          <w:rFonts w:ascii="Arial" w:hAnsi="Arial" w:cs="Arial"/>
          <w:sz w:val="24"/>
          <w:szCs w:val="24"/>
          <w:vertAlign w:val="superscript"/>
        </w:rPr>
        <w:t>a</w:t>
      </w:r>
      <w:r>
        <w:rPr>
          <w:rFonts w:ascii="Arial" w:hAnsi="Arial" w:cs="Arial"/>
          <w:sz w:val="24"/>
          <w:szCs w:val="24"/>
        </w:rPr>
        <w:t>Calculated</w:t>
      </w:r>
      <w:proofErr w:type="spellEnd"/>
      <w:r>
        <w:rPr>
          <w:rFonts w:ascii="Arial" w:hAnsi="Arial" w:cs="Arial"/>
          <w:sz w:val="24"/>
          <w:szCs w:val="24"/>
        </w:rPr>
        <w:t xml:space="preserve"> at quarter 2 2020. </w:t>
      </w:r>
      <w:r w:rsidRPr="0086735D">
        <w:rPr>
          <w:rFonts w:ascii="Arial" w:hAnsi="Arial" w:cs="Arial"/>
          <w:sz w:val="24"/>
          <w:szCs w:val="24"/>
        </w:rPr>
        <w:t xml:space="preserve">95% </w:t>
      </w:r>
      <w:r>
        <w:rPr>
          <w:rFonts w:ascii="Arial" w:hAnsi="Arial" w:cs="Arial"/>
          <w:sz w:val="24"/>
          <w:szCs w:val="24"/>
        </w:rPr>
        <w:t>c</w:t>
      </w:r>
      <w:r w:rsidRPr="0086735D">
        <w:rPr>
          <w:rFonts w:ascii="Arial" w:hAnsi="Arial" w:cs="Arial"/>
          <w:sz w:val="24"/>
          <w:szCs w:val="24"/>
        </w:rPr>
        <w:t xml:space="preserve">onfidence </w:t>
      </w:r>
      <w:r>
        <w:rPr>
          <w:rFonts w:ascii="Arial" w:hAnsi="Arial" w:cs="Arial"/>
          <w:sz w:val="24"/>
          <w:szCs w:val="24"/>
        </w:rPr>
        <w:t>i</w:t>
      </w:r>
      <w:r w:rsidRPr="0086735D">
        <w:rPr>
          <w:rFonts w:ascii="Arial" w:hAnsi="Arial" w:cs="Arial"/>
          <w:sz w:val="24"/>
          <w:szCs w:val="24"/>
        </w:rPr>
        <w:t>nterval calculated using model bootstrapping</w:t>
      </w:r>
    </w:p>
    <w:p w14:paraId="2109C0F8" w14:textId="71E4D70D" w:rsidR="0054413A" w:rsidRDefault="0054413A" w:rsidP="0054413A">
      <w:pPr>
        <w:pStyle w:val="Heading1"/>
        <w:jc w:val="left"/>
        <w:rPr>
          <w:szCs w:val="24"/>
        </w:rPr>
      </w:pPr>
      <w:bookmarkStart w:id="19" w:name="_Toc114677342"/>
      <w:r w:rsidRPr="003A1967">
        <w:rPr>
          <w:b/>
          <w:bCs/>
        </w:rPr>
        <w:lastRenderedPageBreak/>
        <w:t>Supplementary Table S</w:t>
      </w:r>
      <w:r>
        <w:rPr>
          <w:b/>
          <w:bCs/>
        </w:rPr>
        <w:t>12</w:t>
      </w:r>
      <w:r w:rsidRPr="003A1967">
        <w:rPr>
          <w:b/>
          <w:bCs/>
        </w:rPr>
        <w:t>.</w:t>
      </w:r>
      <w:r>
        <w:t xml:space="preserve"> </w:t>
      </w:r>
      <w:r w:rsidRPr="0086735D">
        <w:t xml:space="preserve">Results of the </w:t>
      </w:r>
      <w:r>
        <w:t>controlled</w:t>
      </w:r>
      <w:r w:rsidRPr="0086735D">
        <w:t xml:space="preserve"> interrupted time series analysis of </w:t>
      </w:r>
      <w:r>
        <w:t>weak</w:t>
      </w:r>
      <w:r w:rsidRPr="00181D91">
        <w:rPr>
          <w:vertAlign w:val="superscript"/>
        </w:rPr>
        <w:t>1</w:t>
      </w:r>
      <w:r>
        <w:t xml:space="preserve"> compared to strong </w:t>
      </w:r>
      <w:r w:rsidRPr="0086735D">
        <w:t>opioid</w:t>
      </w:r>
      <w:r w:rsidRPr="00181D91">
        <w:rPr>
          <w:vertAlign w:val="superscript"/>
        </w:rPr>
        <w:t>2</w:t>
      </w:r>
      <w:r w:rsidRPr="0086735D">
        <w:t xml:space="preserve"> </w:t>
      </w:r>
      <w:r>
        <w:t>p</w:t>
      </w:r>
      <w:r w:rsidRPr="0086735D">
        <w:t xml:space="preserve">rescribing </w:t>
      </w:r>
      <w:r>
        <w:t>rates</w:t>
      </w:r>
      <w:r w:rsidRPr="0086735D">
        <w:t xml:space="preserve"> </w:t>
      </w:r>
      <w:r>
        <w:t>in</w:t>
      </w:r>
      <w:r w:rsidRPr="0086735D">
        <w:t xml:space="preserve"> Scotland</w:t>
      </w:r>
      <w:r>
        <w:t xml:space="preserve"> (without buprenorphine, buprenorphine and naloxone and methadone hydrochloride)</w:t>
      </w:r>
      <w:bookmarkEnd w:id="19"/>
    </w:p>
    <w:tbl>
      <w:tblPr>
        <w:tblStyle w:val="PlainTable2"/>
        <w:tblW w:w="52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152"/>
        <w:gridCol w:w="2589"/>
        <w:gridCol w:w="1666"/>
        <w:gridCol w:w="986"/>
      </w:tblGrid>
      <w:tr w:rsidR="0054413A" w:rsidRPr="0086735D" w14:paraId="05F2183B" w14:textId="77777777" w:rsidTr="00D70684">
        <w:trPr>
          <w:cnfStyle w:val="000000100000" w:firstRow="0" w:lastRow="0" w:firstColumn="0" w:lastColumn="0" w:oddVBand="0" w:evenVBand="0" w:oddHBand="1" w:evenHBand="0" w:firstRowFirstColumn="0" w:firstRowLastColumn="0" w:lastRowFirstColumn="0" w:lastRowLastColumn="0"/>
        </w:trPr>
        <w:tc>
          <w:tcPr>
            <w:tcW w:w="2210" w:type="pct"/>
            <w:shd w:val="clear" w:color="auto" w:fill="D9E2F3" w:themeFill="accent1" w:themeFillTint="33"/>
            <w:vAlign w:val="center"/>
          </w:tcPr>
          <w:p w14:paraId="0E3CAA3C" w14:textId="77777777" w:rsidR="0054413A" w:rsidRPr="00845F73" w:rsidRDefault="0054413A" w:rsidP="00D70684">
            <w:pPr>
              <w:jc w:val="center"/>
              <w:rPr>
                <w:rFonts w:cstheme="minorHAnsi"/>
                <w:b/>
              </w:rPr>
            </w:pPr>
          </w:p>
        </w:tc>
        <w:tc>
          <w:tcPr>
            <w:tcW w:w="1378" w:type="pct"/>
            <w:shd w:val="clear" w:color="auto" w:fill="D9E2F3" w:themeFill="accent1" w:themeFillTint="33"/>
            <w:vAlign w:val="center"/>
          </w:tcPr>
          <w:p w14:paraId="485B85DB" w14:textId="77777777" w:rsidR="0054413A" w:rsidRPr="00845F73" w:rsidRDefault="0054413A" w:rsidP="00D70684">
            <w:pPr>
              <w:jc w:val="center"/>
              <w:rPr>
                <w:rFonts w:cstheme="minorHAnsi"/>
                <w:b/>
              </w:rPr>
            </w:pPr>
            <w:r w:rsidRPr="00845F73">
              <w:rPr>
                <w:rFonts w:cstheme="minorHAnsi"/>
                <w:b/>
              </w:rPr>
              <w:t>Estimate</w:t>
            </w:r>
          </w:p>
          <w:p w14:paraId="7A2AF607" w14:textId="77777777" w:rsidR="0054413A" w:rsidRPr="00845F73" w:rsidRDefault="0054413A" w:rsidP="00D70684">
            <w:pPr>
              <w:jc w:val="center"/>
              <w:rPr>
                <w:rFonts w:cstheme="minorHAnsi"/>
                <w:b/>
              </w:rPr>
            </w:pPr>
            <w:r w:rsidRPr="00845F73">
              <w:rPr>
                <w:rFonts w:cstheme="minorHAnsi"/>
                <w:b/>
              </w:rPr>
              <w:t>(95% Confidence Interval)</w:t>
            </w:r>
          </w:p>
        </w:tc>
        <w:tc>
          <w:tcPr>
            <w:tcW w:w="887" w:type="pct"/>
            <w:shd w:val="clear" w:color="auto" w:fill="D9E2F3" w:themeFill="accent1" w:themeFillTint="33"/>
            <w:vAlign w:val="center"/>
          </w:tcPr>
          <w:p w14:paraId="5D2D51B8" w14:textId="77777777" w:rsidR="0054413A" w:rsidRPr="00845F73" w:rsidRDefault="0054413A" w:rsidP="00D70684">
            <w:pPr>
              <w:jc w:val="center"/>
              <w:rPr>
                <w:rFonts w:cstheme="minorHAnsi"/>
                <w:b/>
              </w:rPr>
            </w:pPr>
            <w:r w:rsidRPr="00845F73">
              <w:rPr>
                <w:rFonts w:cstheme="minorHAnsi"/>
                <w:b/>
              </w:rPr>
              <w:t>Standard Error</w:t>
            </w:r>
          </w:p>
        </w:tc>
        <w:tc>
          <w:tcPr>
            <w:tcW w:w="525" w:type="pct"/>
            <w:shd w:val="clear" w:color="auto" w:fill="D9E2F3" w:themeFill="accent1" w:themeFillTint="33"/>
            <w:vAlign w:val="center"/>
          </w:tcPr>
          <w:p w14:paraId="2EA4DE54" w14:textId="77777777" w:rsidR="0054413A" w:rsidRPr="00845F73" w:rsidRDefault="0054413A" w:rsidP="00D70684">
            <w:pPr>
              <w:jc w:val="center"/>
              <w:rPr>
                <w:rFonts w:cstheme="minorHAnsi"/>
                <w:b/>
              </w:rPr>
            </w:pPr>
            <w:r w:rsidRPr="00845F73">
              <w:rPr>
                <w:rFonts w:cstheme="minorHAnsi"/>
                <w:b/>
              </w:rPr>
              <w:t>P value</w:t>
            </w:r>
          </w:p>
        </w:tc>
      </w:tr>
      <w:tr w:rsidR="0054413A" w:rsidRPr="0086735D" w14:paraId="05BEE3C9" w14:textId="77777777" w:rsidTr="00D70684">
        <w:tc>
          <w:tcPr>
            <w:tcW w:w="2210" w:type="pct"/>
          </w:tcPr>
          <w:p w14:paraId="33984F80" w14:textId="77777777" w:rsidR="0054413A" w:rsidRPr="00845F73" w:rsidRDefault="0054413A" w:rsidP="00D70684">
            <w:pPr>
              <w:rPr>
                <w:rFonts w:cstheme="minorHAnsi"/>
              </w:rPr>
            </w:pPr>
            <w:r w:rsidRPr="00BF17B2">
              <w:t>Difference in Intercept, β</w:t>
            </w:r>
            <w:r w:rsidRPr="00845BAA">
              <w:rPr>
                <w:vertAlign w:val="subscript"/>
              </w:rPr>
              <w:t>4</w:t>
            </w:r>
          </w:p>
        </w:tc>
        <w:tc>
          <w:tcPr>
            <w:tcW w:w="1378" w:type="pct"/>
            <w:vAlign w:val="center"/>
          </w:tcPr>
          <w:p w14:paraId="752EA096" w14:textId="77777777" w:rsidR="0054413A" w:rsidRPr="00845F73" w:rsidRDefault="0054413A" w:rsidP="00D70684">
            <w:pPr>
              <w:jc w:val="center"/>
              <w:rPr>
                <w:rFonts w:cstheme="minorHAnsi"/>
              </w:rPr>
            </w:pPr>
            <w:r>
              <w:rPr>
                <w:rFonts w:cstheme="minorHAnsi"/>
              </w:rPr>
              <w:t>178.05 (174.23, 181.87)</w:t>
            </w:r>
          </w:p>
        </w:tc>
        <w:tc>
          <w:tcPr>
            <w:tcW w:w="887" w:type="pct"/>
            <w:vAlign w:val="center"/>
          </w:tcPr>
          <w:p w14:paraId="18D39873" w14:textId="77777777" w:rsidR="0054413A" w:rsidRPr="00845F73" w:rsidRDefault="0054413A" w:rsidP="00D70684">
            <w:pPr>
              <w:jc w:val="center"/>
              <w:rPr>
                <w:rFonts w:cstheme="minorHAnsi"/>
              </w:rPr>
            </w:pPr>
            <w:r>
              <w:rPr>
                <w:rFonts w:cstheme="minorHAnsi"/>
              </w:rPr>
              <w:t>1.93</w:t>
            </w:r>
          </w:p>
        </w:tc>
        <w:tc>
          <w:tcPr>
            <w:tcW w:w="525" w:type="pct"/>
            <w:vAlign w:val="center"/>
          </w:tcPr>
          <w:p w14:paraId="088C344B" w14:textId="77777777" w:rsidR="0054413A" w:rsidRPr="00845F73" w:rsidRDefault="0054413A" w:rsidP="00D70684">
            <w:pPr>
              <w:jc w:val="center"/>
              <w:rPr>
                <w:rFonts w:cstheme="minorHAnsi"/>
              </w:rPr>
            </w:pPr>
            <w:r>
              <w:rPr>
                <w:rFonts w:cstheme="minorHAnsi"/>
              </w:rPr>
              <w:t>&lt;0.01</w:t>
            </w:r>
          </w:p>
        </w:tc>
      </w:tr>
      <w:tr w:rsidR="0054413A" w:rsidRPr="0086735D" w14:paraId="3A474878" w14:textId="77777777" w:rsidTr="00D70684">
        <w:trPr>
          <w:cnfStyle w:val="000000100000" w:firstRow="0" w:lastRow="0" w:firstColumn="0" w:lastColumn="0" w:oddVBand="0" w:evenVBand="0" w:oddHBand="1" w:evenHBand="0" w:firstRowFirstColumn="0" w:firstRowLastColumn="0" w:lastRowFirstColumn="0" w:lastRowLastColumn="0"/>
        </w:trPr>
        <w:tc>
          <w:tcPr>
            <w:tcW w:w="2210" w:type="pct"/>
          </w:tcPr>
          <w:p w14:paraId="073554E3" w14:textId="77777777" w:rsidR="0054413A" w:rsidRPr="00845F73" w:rsidRDefault="0054413A" w:rsidP="00D70684">
            <w:pPr>
              <w:rPr>
                <w:rFonts w:cstheme="minorHAnsi"/>
              </w:rPr>
            </w:pPr>
            <w:r w:rsidRPr="00BF17B2">
              <w:t>Difference in Pre-Intervention Trend, β</w:t>
            </w:r>
            <w:r w:rsidRPr="00845BAA">
              <w:rPr>
                <w:vertAlign w:val="subscript"/>
              </w:rPr>
              <w:t>5</w:t>
            </w:r>
          </w:p>
        </w:tc>
        <w:tc>
          <w:tcPr>
            <w:tcW w:w="1378" w:type="pct"/>
            <w:vAlign w:val="center"/>
          </w:tcPr>
          <w:p w14:paraId="24064B27" w14:textId="77777777" w:rsidR="0054413A" w:rsidRPr="00845F73" w:rsidRDefault="0054413A" w:rsidP="00D70684">
            <w:pPr>
              <w:jc w:val="center"/>
              <w:rPr>
                <w:rFonts w:cstheme="minorHAnsi"/>
              </w:rPr>
            </w:pPr>
            <w:r>
              <w:rPr>
                <w:rFonts w:cstheme="minorHAnsi"/>
              </w:rPr>
              <w:t>0.73 (0.55, 0.91)</w:t>
            </w:r>
          </w:p>
        </w:tc>
        <w:tc>
          <w:tcPr>
            <w:tcW w:w="887" w:type="pct"/>
            <w:vAlign w:val="center"/>
          </w:tcPr>
          <w:p w14:paraId="207DE3F9" w14:textId="77777777" w:rsidR="0054413A" w:rsidRPr="00845F73" w:rsidRDefault="0054413A" w:rsidP="00D70684">
            <w:pPr>
              <w:jc w:val="center"/>
              <w:rPr>
                <w:rFonts w:cstheme="minorHAnsi"/>
              </w:rPr>
            </w:pPr>
            <w:r>
              <w:rPr>
                <w:rFonts w:cstheme="minorHAnsi"/>
              </w:rPr>
              <w:t>0.09</w:t>
            </w:r>
          </w:p>
        </w:tc>
        <w:tc>
          <w:tcPr>
            <w:tcW w:w="525" w:type="pct"/>
            <w:vAlign w:val="center"/>
          </w:tcPr>
          <w:p w14:paraId="189F81E7" w14:textId="77777777" w:rsidR="0054413A" w:rsidRPr="00845F73" w:rsidRDefault="0054413A" w:rsidP="00D70684">
            <w:pPr>
              <w:jc w:val="center"/>
              <w:rPr>
                <w:rFonts w:cstheme="minorHAnsi"/>
              </w:rPr>
            </w:pPr>
            <w:r>
              <w:rPr>
                <w:rFonts w:cstheme="minorHAnsi"/>
              </w:rPr>
              <w:t>&lt;0.01</w:t>
            </w:r>
          </w:p>
        </w:tc>
      </w:tr>
      <w:tr w:rsidR="0054413A" w:rsidRPr="0086735D" w14:paraId="2FFD07F4" w14:textId="77777777" w:rsidTr="00D70684">
        <w:tc>
          <w:tcPr>
            <w:tcW w:w="2210" w:type="pct"/>
          </w:tcPr>
          <w:p w14:paraId="5BB3FD5B" w14:textId="77777777" w:rsidR="0054413A" w:rsidRPr="00845F73" w:rsidRDefault="0054413A" w:rsidP="00D70684">
            <w:pPr>
              <w:rPr>
                <w:rFonts w:cstheme="minorHAnsi"/>
              </w:rPr>
            </w:pPr>
            <w:r w:rsidRPr="00BF17B2">
              <w:t>Difference in Change in Level, β</w:t>
            </w:r>
            <w:r w:rsidRPr="00845BAA">
              <w:rPr>
                <w:vertAlign w:val="subscript"/>
              </w:rPr>
              <w:t>6</w:t>
            </w:r>
          </w:p>
        </w:tc>
        <w:tc>
          <w:tcPr>
            <w:tcW w:w="1378" w:type="pct"/>
            <w:vAlign w:val="center"/>
          </w:tcPr>
          <w:p w14:paraId="230B7D21" w14:textId="77777777" w:rsidR="0054413A" w:rsidRPr="00845F73" w:rsidRDefault="0054413A" w:rsidP="00D70684">
            <w:pPr>
              <w:jc w:val="center"/>
              <w:rPr>
                <w:rFonts w:cstheme="minorHAnsi"/>
              </w:rPr>
            </w:pPr>
            <w:r>
              <w:rPr>
                <w:rFonts w:cstheme="minorHAnsi"/>
              </w:rPr>
              <w:t>-2.17 (-7.99, 3.66)</w:t>
            </w:r>
          </w:p>
        </w:tc>
        <w:tc>
          <w:tcPr>
            <w:tcW w:w="887" w:type="pct"/>
            <w:vAlign w:val="center"/>
          </w:tcPr>
          <w:p w14:paraId="0ACC1224" w14:textId="77777777" w:rsidR="0054413A" w:rsidRPr="00845F73" w:rsidRDefault="0054413A" w:rsidP="00D70684">
            <w:pPr>
              <w:jc w:val="center"/>
              <w:rPr>
                <w:rFonts w:cstheme="minorHAnsi"/>
              </w:rPr>
            </w:pPr>
            <w:r>
              <w:rPr>
                <w:rFonts w:cstheme="minorHAnsi"/>
              </w:rPr>
              <w:t>2.94</w:t>
            </w:r>
          </w:p>
        </w:tc>
        <w:tc>
          <w:tcPr>
            <w:tcW w:w="525" w:type="pct"/>
            <w:vAlign w:val="center"/>
          </w:tcPr>
          <w:p w14:paraId="51E09691" w14:textId="77777777" w:rsidR="0054413A" w:rsidRPr="00845F73" w:rsidRDefault="0054413A" w:rsidP="00D70684">
            <w:pPr>
              <w:jc w:val="center"/>
              <w:rPr>
                <w:rFonts w:cstheme="minorHAnsi"/>
              </w:rPr>
            </w:pPr>
            <w:r>
              <w:rPr>
                <w:rFonts w:cstheme="minorHAnsi"/>
              </w:rPr>
              <w:t>0.46</w:t>
            </w:r>
          </w:p>
        </w:tc>
      </w:tr>
      <w:tr w:rsidR="0054413A" w:rsidRPr="0086735D" w14:paraId="5DA44667" w14:textId="77777777" w:rsidTr="00D70684">
        <w:trPr>
          <w:cnfStyle w:val="000000100000" w:firstRow="0" w:lastRow="0" w:firstColumn="0" w:lastColumn="0" w:oddVBand="0" w:evenVBand="0" w:oddHBand="1" w:evenHBand="0" w:firstRowFirstColumn="0" w:firstRowLastColumn="0" w:lastRowFirstColumn="0" w:lastRowLastColumn="0"/>
        </w:trPr>
        <w:tc>
          <w:tcPr>
            <w:tcW w:w="2210" w:type="pct"/>
          </w:tcPr>
          <w:p w14:paraId="1926D5DD" w14:textId="77777777" w:rsidR="0054413A" w:rsidRPr="00845F73" w:rsidRDefault="0054413A" w:rsidP="00D70684">
            <w:pPr>
              <w:rPr>
                <w:rFonts w:cstheme="minorHAnsi"/>
              </w:rPr>
            </w:pPr>
            <w:r w:rsidRPr="00BF17B2">
              <w:t>Difference in Change in Trend, β</w:t>
            </w:r>
            <w:r w:rsidRPr="00845BAA">
              <w:rPr>
                <w:vertAlign w:val="subscript"/>
              </w:rPr>
              <w:t>7</w:t>
            </w:r>
          </w:p>
        </w:tc>
        <w:tc>
          <w:tcPr>
            <w:tcW w:w="1378" w:type="pct"/>
            <w:vAlign w:val="center"/>
          </w:tcPr>
          <w:p w14:paraId="01E737EF" w14:textId="77777777" w:rsidR="0054413A" w:rsidRPr="00845F73" w:rsidRDefault="0054413A" w:rsidP="00D70684">
            <w:pPr>
              <w:jc w:val="center"/>
              <w:rPr>
                <w:rFonts w:cstheme="minorHAnsi"/>
              </w:rPr>
            </w:pPr>
            <w:r>
              <w:rPr>
                <w:rFonts w:cstheme="minorHAnsi"/>
              </w:rPr>
              <w:t>-2.03 (-2.37, -1.68)</w:t>
            </w:r>
          </w:p>
        </w:tc>
        <w:tc>
          <w:tcPr>
            <w:tcW w:w="887" w:type="pct"/>
            <w:vAlign w:val="center"/>
          </w:tcPr>
          <w:p w14:paraId="1E598B97" w14:textId="77777777" w:rsidR="0054413A" w:rsidRPr="00845F73" w:rsidRDefault="0054413A" w:rsidP="00D70684">
            <w:pPr>
              <w:jc w:val="center"/>
              <w:rPr>
                <w:rFonts w:cstheme="minorHAnsi"/>
              </w:rPr>
            </w:pPr>
            <w:r>
              <w:rPr>
                <w:rFonts w:cstheme="minorHAnsi"/>
              </w:rPr>
              <w:t>0.17</w:t>
            </w:r>
          </w:p>
        </w:tc>
        <w:tc>
          <w:tcPr>
            <w:tcW w:w="525" w:type="pct"/>
            <w:vAlign w:val="center"/>
          </w:tcPr>
          <w:p w14:paraId="6C4CE96F" w14:textId="77777777" w:rsidR="0054413A" w:rsidRPr="00845F73" w:rsidRDefault="0054413A" w:rsidP="00D70684">
            <w:pPr>
              <w:jc w:val="center"/>
              <w:rPr>
                <w:rFonts w:cstheme="minorHAnsi"/>
              </w:rPr>
            </w:pPr>
            <w:r>
              <w:rPr>
                <w:rFonts w:cstheme="minorHAnsi"/>
              </w:rPr>
              <w:t>&lt;0.01</w:t>
            </w:r>
          </w:p>
        </w:tc>
      </w:tr>
      <w:tr w:rsidR="0054413A" w:rsidRPr="0086735D" w14:paraId="5D2FDDAF" w14:textId="77777777" w:rsidTr="00D70684">
        <w:tc>
          <w:tcPr>
            <w:tcW w:w="2210" w:type="pct"/>
          </w:tcPr>
          <w:p w14:paraId="022DB9A9" w14:textId="77777777" w:rsidR="0054413A" w:rsidRPr="00845F73" w:rsidRDefault="0054413A" w:rsidP="00D70684">
            <w:pPr>
              <w:rPr>
                <w:rFonts w:cstheme="minorHAnsi"/>
                <w:bCs/>
              </w:rPr>
            </w:pPr>
            <w:r w:rsidRPr="00BF17B2">
              <w:t>Difference in Post-Intervention Trend, β</w:t>
            </w:r>
            <w:r w:rsidRPr="00845BAA">
              <w:rPr>
                <w:vertAlign w:val="subscript"/>
              </w:rPr>
              <w:t>5+7</w:t>
            </w:r>
          </w:p>
        </w:tc>
        <w:tc>
          <w:tcPr>
            <w:tcW w:w="1378" w:type="pct"/>
          </w:tcPr>
          <w:p w14:paraId="2F382C83" w14:textId="77777777" w:rsidR="0054413A" w:rsidRPr="00845F73" w:rsidRDefault="0054413A" w:rsidP="00D70684">
            <w:pPr>
              <w:jc w:val="center"/>
              <w:rPr>
                <w:rFonts w:cstheme="minorHAnsi"/>
              </w:rPr>
            </w:pPr>
            <w:r>
              <w:rPr>
                <w:rFonts w:cstheme="minorHAnsi"/>
              </w:rPr>
              <w:t>-1.29 (-1.56, -1.03)</w:t>
            </w:r>
          </w:p>
        </w:tc>
        <w:tc>
          <w:tcPr>
            <w:tcW w:w="887" w:type="pct"/>
          </w:tcPr>
          <w:p w14:paraId="19106633" w14:textId="77777777" w:rsidR="0054413A" w:rsidRPr="00845F73" w:rsidRDefault="0054413A" w:rsidP="00D70684">
            <w:pPr>
              <w:jc w:val="center"/>
              <w:rPr>
                <w:rFonts w:cstheme="minorHAnsi"/>
              </w:rPr>
            </w:pPr>
            <w:r>
              <w:rPr>
                <w:rFonts w:cstheme="minorHAnsi"/>
              </w:rPr>
              <w:t>0.13</w:t>
            </w:r>
          </w:p>
        </w:tc>
        <w:tc>
          <w:tcPr>
            <w:tcW w:w="525" w:type="pct"/>
          </w:tcPr>
          <w:p w14:paraId="252D7D62" w14:textId="77777777" w:rsidR="0054413A" w:rsidRPr="00845F73" w:rsidRDefault="0054413A" w:rsidP="00D70684">
            <w:pPr>
              <w:jc w:val="center"/>
              <w:rPr>
                <w:rFonts w:cstheme="minorHAnsi"/>
              </w:rPr>
            </w:pPr>
            <w:r>
              <w:rPr>
                <w:rFonts w:cstheme="minorHAnsi"/>
              </w:rPr>
              <w:t>&lt;0.01</w:t>
            </w:r>
          </w:p>
        </w:tc>
      </w:tr>
      <w:tr w:rsidR="0054413A" w:rsidRPr="0086735D" w14:paraId="7BF1FE88" w14:textId="77777777" w:rsidTr="00D70684">
        <w:trPr>
          <w:cnfStyle w:val="000000100000" w:firstRow="0" w:lastRow="0" w:firstColumn="0" w:lastColumn="0" w:oddVBand="0" w:evenVBand="0" w:oddHBand="1" w:evenHBand="0" w:firstRowFirstColumn="0" w:firstRowLastColumn="0" w:lastRowFirstColumn="0" w:lastRowLastColumn="0"/>
        </w:trPr>
        <w:tc>
          <w:tcPr>
            <w:tcW w:w="2210" w:type="pct"/>
          </w:tcPr>
          <w:p w14:paraId="10586E8D" w14:textId="77777777" w:rsidR="0054413A" w:rsidRPr="00845F73" w:rsidRDefault="0054413A" w:rsidP="00D70684">
            <w:pPr>
              <w:rPr>
                <w:rFonts w:cstheme="minorHAnsi"/>
                <w:bCs/>
              </w:rPr>
            </w:pPr>
            <w:r w:rsidRPr="00BF17B2">
              <w:t>Durbin-Watson Statistic</w:t>
            </w:r>
          </w:p>
        </w:tc>
        <w:tc>
          <w:tcPr>
            <w:tcW w:w="1378" w:type="pct"/>
          </w:tcPr>
          <w:p w14:paraId="2B95C0E2" w14:textId="77777777" w:rsidR="0054413A" w:rsidRPr="00845F73" w:rsidRDefault="0054413A" w:rsidP="00D70684">
            <w:pPr>
              <w:jc w:val="center"/>
              <w:rPr>
                <w:rFonts w:cstheme="minorHAnsi"/>
              </w:rPr>
            </w:pPr>
            <w:r>
              <w:rPr>
                <w:rFonts w:cstheme="minorHAnsi"/>
              </w:rPr>
              <w:t>1.67</w:t>
            </w:r>
          </w:p>
        </w:tc>
        <w:tc>
          <w:tcPr>
            <w:tcW w:w="887" w:type="pct"/>
          </w:tcPr>
          <w:p w14:paraId="2B1577A4" w14:textId="77777777" w:rsidR="0054413A" w:rsidRPr="00845F73" w:rsidRDefault="0054413A" w:rsidP="00D70684">
            <w:pPr>
              <w:jc w:val="center"/>
              <w:rPr>
                <w:rFonts w:cstheme="minorHAnsi"/>
              </w:rPr>
            </w:pPr>
            <w:r>
              <w:rPr>
                <w:rFonts w:cstheme="minorHAnsi"/>
              </w:rPr>
              <w:t>n/a</w:t>
            </w:r>
          </w:p>
        </w:tc>
        <w:tc>
          <w:tcPr>
            <w:tcW w:w="525" w:type="pct"/>
          </w:tcPr>
          <w:p w14:paraId="719BAABD" w14:textId="77777777" w:rsidR="0054413A" w:rsidRPr="00845F73" w:rsidRDefault="0054413A" w:rsidP="00D70684">
            <w:pPr>
              <w:jc w:val="center"/>
              <w:rPr>
                <w:rFonts w:cstheme="minorHAnsi"/>
              </w:rPr>
            </w:pPr>
            <w:r>
              <w:rPr>
                <w:rFonts w:cstheme="minorHAnsi"/>
              </w:rPr>
              <w:t>n/a</w:t>
            </w:r>
          </w:p>
        </w:tc>
      </w:tr>
    </w:tbl>
    <w:p w14:paraId="0DBE9A93" w14:textId="77777777" w:rsidR="0054413A" w:rsidRDefault="0054413A" w:rsidP="0054413A">
      <w:pPr>
        <w:spacing w:after="0"/>
        <w:rPr>
          <w:rFonts w:ascii="Arial" w:hAnsi="Arial" w:cs="Arial"/>
          <w:sz w:val="24"/>
          <w:szCs w:val="24"/>
        </w:rPr>
      </w:pPr>
      <w:r w:rsidRPr="00291577">
        <w:rPr>
          <w:rFonts w:ascii="Arial" w:hAnsi="Arial" w:cs="Arial"/>
          <w:sz w:val="24"/>
          <w:szCs w:val="24"/>
        </w:rPr>
        <w:t>β</w:t>
      </w:r>
      <w:r>
        <w:rPr>
          <w:rFonts w:ascii="Arial" w:hAnsi="Arial" w:cs="Arial"/>
          <w:sz w:val="24"/>
          <w:szCs w:val="24"/>
          <w:vertAlign w:val="subscript"/>
        </w:rPr>
        <w:t>4-7</w:t>
      </w:r>
      <w:r>
        <w:rPr>
          <w:rFonts w:ascii="Arial" w:hAnsi="Arial" w:cs="Arial"/>
          <w:sz w:val="24"/>
          <w:szCs w:val="24"/>
        </w:rPr>
        <w:t xml:space="preserve"> are coefficients from the controlled interrupted time series analysis model; the intercept represents the outcome at the start of the study period.    </w:t>
      </w:r>
      <w:r w:rsidRPr="0086735D">
        <w:rPr>
          <w:rFonts w:ascii="Arial" w:hAnsi="Arial" w:cs="Arial"/>
          <w:sz w:val="24"/>
          <w:szCs w:val="24"/>
        </w:rPr>
        <w:t xml:space="preserve"> </w:t>
      </w:r>
    </w:p>
    <w:p w14:paraId="643CB3EB" w14:textId="77777777" w:rsidR="0054413A" w:rsidRDefault="0054413A" w:rsidP="0054413A">
      <w:pPr>
        <w:spacing w:after="0"/>
        <w:rPr>
          <w:rFonts w:ascii="Arial" w:hAnsi="Arial" w:cs="Arial"/>
          <w:sz w:val="24"/>
          <w:szCs w:val="24"/>
        </w:rPr>
      </w:pPr>
      <w:r>
        <w:rPr>
          <w:rFonts w:ascii="Arial" w:hAnsi="Arial" w:cs="Arial"/>
          <w:sz w:val="24"/>
          <w:szCs w:val="24"/>
          <w:vertAlign w:val="superscript"/>
        </w:rPr>
        <w:t>1</w:t>
      </w:r>
      <w:r>
        <w:rPr>
          <w:rFonts w:ascii="Arial" w:hAnsi="Arial" w:cs="Arial"/>
          <w:sz w:val="24"/>
          <w:szCs w:val="24"/>
        </w:rPr>
        <w:t>Weak opioids are the following and their compounds: codeine, dihydrocodeine, meptazinol and tramadol</w:t>
      </w:r>
    </w:p>
    <w:p w14:paraId="07CF3942" w14:textId="77777777" w:rsidR="0054413A" w:rsidRDefault="0054413A" w:rsidP="0054413A">
      <w:pPr>
        <w:spacing w:after="0"/>
        <w:rPr>
          <w:rFonts w:ascii="Arial" w:hAnsi="Arial" w:cs="Arial"/>
          <w:sz w:val="24"/>
          <w:szCs w:val="24"/>
        </w:rPr>
      </w:pPr>
      <w:r w:rsidRPr="009931AC">
        <w:rPr>
          <w:rFonts w:ascii="Arial" w:hAnsi="Arial" w:cs="Arial"/>
          <w:sz w:val="24"/>
          <w:szCs w:val="24"/>
          <w:vertAlign w:val="superscript"/>
        </w:rPr>
        <w:t>2</w:t>
      </w:r>
      <w:r>
        <w:rPr>
          <w:rFonts w:ascii="Arial" w:hAnsi="Arial" w:cs="Arial"/>
          <w:sz w:val="24"/>
          <w:szCs w:val="24"/>
        </w:rPr>
        <w:t xml:space="preserve">Strong opioids are the following and their compounds: diamorphine, dipipanone, fentanyl, hydromorphone, morphine, oxycodone, papaveretum, pentazocine, pethidine and </w:t>
      </w:r>
      <w:proofErr w:type="spellStart"/>
      <w:r>
        <w:rPr>
          <w:rFonts w:ascii="Arial" w:hAnsi="Arial" w:cs="Arial"/>
          <w:sz w:val="24"/>
          <w:szCs w:val="24"/>
        </w:rPr>
        <w:t>tapentadol</w:t>
      </w:r>
      <w:proofErr w:type="spellEnd"/>
      <w:r>
        <w:rPr>
          <w:rFonts w:ascii="Arial" w:hAnsi="Arial" w:cs="Arial"/>
          <w:sz w:val="24"/>
          <w:szCs w:val="24"/>
        </w:rPr>
        <w:t xml:space="preserve">  </w:t>
      </w:r>
    </w:p>
    <w:p w14:paraId="77D85A58" w14:textId="77777777" w:rsidR="00567DB3" w:rsidRDefault="00567DB3" w:rsidP="005F284C">
      <w:pPr>
        <w:pStyle w:val="Heading1"/>
        <w:jc w:val="left"/>
        <w:rPr>
          <w:b/>
          <w:bCs/>
        </w:rPr>
        <w:sectPr w:rsidR="00567DB3" w:rsidSect="0054413A">
          <w:pgSz w:w="11906" w:h="16838"/>
          <w:pgMar w:top="1440" w:right="1440" w:bottom="1440" w:left="1440" w:header="708" w:footer="708" w:gutter="0"/>
          <w:cols w:space="708"/>
          <w:docGrid w:linePitch="360"/>
        </w:sectPr>
      </w:pPr>
    </w:p>
    <w:p w14:paraId="246C5E63" w14:textId="5F2FDE7D" w:rsidR="005F284C" w:rsidRDefault="005F284C" w:rsidP="005F284C">
      <w:pPr>
        <w:pStyle w:val="Heading1"/>
        <w:jc w:val="left"/>
        <w:rPr>
          <w:szCs w:val="24"/>
        </w:rPr>
      </w:pPr>
      <w:r w:rsidRPr="003A1967">
        <w:rPr>
          <w:b/>
          <w:bCs/>
        </w:rPr>
        <w:lastRenderedPageBreak/>
        <w:t>Supplementary Table S</w:t>
      </w:r>
      <w:r>
        <w:rPr>
          <w:b/>
          <w:bCs/>
        </w:rPr>
        <w:t>1</w:t>
      </w:r>
      <w:r w:rsidR="004B3DAB">
        <w:rPr>
          <w:b/>
          <w:bCs/>
        </w:rPr>
        <w:t>3</w:t>
      </w:r>
      <w:r w:rsidRPr="003A1967">
        <w:rPr>
          <w:b/>
          <w:bCs/>
        </w:rPr>
        <w:t>.</w:t>
      </w:r>
      <w:r>
        <w:t xml:space="preserve"> </w:t>
      </w:r>
      <w:r w:rsidRPr="0086735D">
        <w:rPr>
          <w:szCs w:val="24"/>
        </w:rPr>
        <w:t>Results of the single interrupted time series analys</w:t>
      </w:r>
      <w:r>
        <w:rPr>
          <w:szCs w:val="24"/>
        </w:rPr>
        <w:t>e</w:t>
      </w:r>
      <w:r w:rsidRPr="0086735D">
        <w:rPr>
          <w:szCs w:val="24"/>
        </w:rPr>
        <w:t xml:space="preserve">s </w:t>
      </w:r>
      <w:r w:rsidRPr="00181D91">
        <w:rPr>
          <w:szCs w:val="24"/>
        </w:rPr>
        <w:t xml:space="preserve">of </w:t>
      </w:r>
      <w:r>
        <w:rPr>
          <w:szCs w:val="24"/>
        </w:rPr>
        <w:t>female</w:t>
      </w:r>
      <w:r w:rsidRPr="00181D91">
        <w:rPr>
          <w:szCs w:val="24"/>
        </w:rPr>
        <w:t xml:space="preserve"> and </w:t>
      </w:r>
      <w:r>
        <w:rPr>
          <w:szCs w:val="24"/>
        </w:rPr>
        <w:t>male</w:t>
      </w:r>
      <w:r w:rsidRPr="00181D91">
        <w:rPr>
          <w:szCs w:val="24"/>
        </w:rPr>
        <w:t xml:space="preserve"> opioid</w:t>
      </w:r>
      <w:r w:rsidRPr="0086735D">
        <w:rPr>
          <w:szCs w:val="24"/>
        </w:rPr>
        <w:t xml:space="preserve"> </w:t>
      </w:r>
      <w:r>
        <w:rPr>
          <w:szCs w:val="24"/>
        </w:rPr>
        <w:t>p</w:t>
      </w:r>
      <w:r w:rsidRPr="0086735D">
        <w:rPr>
          <w:szCs w:val="24"/>
        </w:rPr>
        <w:t xml:space="preserve">rescribing </w:t>
      </w:r>
      <w:r>
        <w:rPr>
          <w:szCs w:val="24"/>
        </w:rPr>
        <w:t>rates</w:t>
      </w:r>
      <w:r w:rsidRPr="0086735D">
        <w:rPr>
          <w:szCs w:val="24"/>
        </w:rPr>
        <w:t xml:space="preserve"> </w:t>
      </w:r>
      <w:r>
        <w:rPr>
          <w:szCs w:val="24"/>
        </w:rPr>
        <w:t>in</w:t>
      </w:r>
      <w:r w:rsidRPr="0086735D">
        <w:rPr>
          <w:szCs w:val="24"/>
        </w:rPr>
        <w:t xml:space="preserve"> Scotland</w:t>
      </w:r>
      <w:r w:rsidR="00E17E65">
        <w:rPr>
          <w:szCs w:val="24"/>
        </w:rPr>
        <w:t xml:space="preserve"> </w:t>
      </w:r>
      <w:r w:rsidR="00E17E65">
        <w:t>(without buprenorphine, buprenorphine and naloxone and methadone hydrochloride)</w:t>
      </w:r>
      <w:bookmarkEnd w:id="17"/>
    </w:p>
    <w:tbl>
      <w:tblPr>
        <w:tblStyle w:val="PlainTable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148"/>
        <w:gridCol w:w="2776"/>
        <w:gridCol w:w="1677"/>
        <w:gridCol w:w="948"/>
        <w:gridCol w:w="2776"/>
        <w:gridCol w:w="1677"/>
        <w:gridCol w:w="946"/>
      </w:tblGrid>
      <w:tr w:rsidR="005F284C" w:rsidRPr="0086735D" w14:paraId="188AF8F5" w14:textId="77777777" w:rsidTr="00781430">
        <w:trPr>
          <w:cnfStyle w:val="000000100000" w:firstRow="0" w:lastRow="0" w:firstColumn="0" w:lastColumn="0" w:oddVBand="0" w:evenVBand="0" w:oddHBand="1" w:evenHBand="0" w:firstRowFirstColumn="0" w:firstRowLastColumn="0" w:lastRowFirstColumn="0" w:lastRowLastColumn="0"/>
        </w:trPr>
        <w:tc>
          <w:tcPr>
            <w:tcW w:w="1128" w:type="pct"/>
            <w:vMerge w:val="restart"/>
            <w:shd w:val="clear" w:color="auto" w:fill="D9E2F3" w:themeFill="accent1" w:themeFillTint="33"/>
            <w:vAlign w:val="center"/>
          </w:tcPr>
          <w:p w14:paraId="6C6DBE46" w14:textId="77777777" w:rsidR="005F284C" w:rsidRPr="00845F73" w:rsidRDefault="005F284C" w:rsidP="00781430">
            <w:pPr>
              <w:jc w:val="center"/>
              <w:rPr>
                <w:rFonts w:cstheme="minorHAnsi"/>
                <w:b/>
              </w:rPr>
            </w:pPr>
          </w:p>
        </w:tc>
        <w:tc>
          <w:tcPr>
            <w:tcW w:w="1936" w:type="pct"/>
            <w:gridSpan w:val="3"/>
            <w:shd w:val="clear" w:color="auto" w:fill="D9E2F3" w:themeFill="accent1" w:themeFillTint="33"/>
            <w:vAlign w:val="center"/>
          </w:tcPr>
          <w:p w14:paraId="49297A1E" w14:textId="77777777" w:rsidR="005F284C" w:rsidRPr="00845F73" w:rsidRDefault="005F284C" w:rsidP="00781430">
            <w:pPr>
              <w:jc w:val="center"/>
              <w:rPr>
                <w:rFonts w:cstheme="minorHAnsi"/>
                <w:b/>
              </w:rPr>
            </w:pPr>
            <w:r>
              <w:rPr>
                <w:rFonts w:cstheme="minorHAnsi"/>
                <w:b/>
                <w:bCs/>
              </w:rPr>
              <w:t>Female</w:t>
            </w:r>
          </w:p>
        </w:tc>
        <w:tc>
          <w:tcPr>
            <w:tcW w:w="1935" w:type="pct"/>
            <w:gridSpan w:val="3"/>
            <w:shd w:val="clear" w:color="auto" w:fill="D9E2F3" w:themeFill="accent1" w:themeFillTint="33"/>
            <w:vAlign w:val="center"/>
          </w:tcPr>
          <w:p w14:paraId="573E9FF2" w14:textId="77777777" w:rsidR="005F284C" w:rsidRPr="00845F73" w:rsidRDefault="005F284C" w:rsidP="00781430">
            <w:pPr>
              <w:jc w:val="center"/>
              <w:rPr>
                <w:rFonts w:cstheme="minorHAnsi"/>
                <w:b/>
              </w:rPr>
            </w:pPr>
            <w:r>
              <w:rPr>
                <w:rFonts w:cstheme="minorHAnsi"/>
                <w:b/>
              </w:rPr>
              <w:t>Male</w:t>
            </w:r>
          </w:p>
        </w:tc>
      </w:tr>
      <w:tr w:rsidR="005F284C" w:rsidRPr="0086735D" w14:paraId="26F2D15A" w14:textId="77777777" w:rsidTr="00781430">
        <w:tc>
          <w:tcPr>
            <w:tcW w:w="1128" w:type="pct"/>
            <w:vMerge/>
            <w:shd w:val="clear" w:color="auto" w:fill="D9E2F3" w:themeFill="accent1" w:themeFillTint="33"/>
            <w:vAlign w:val="center"/>
          </w:tcPr>
          <w:p w14:paraId="267D9404" w14:textId="77777777" w:rsidR="005F284C" w:rsidRPr="00845F73" w:rsidRDefault="005F284C" w:rsidP="00781430">
            <w:pPr>
              <w:jc w:val="center"/>
              <w:rPr>
                <w:rFonts w:cstheme="minorHAnsi"/>
                <w:b/>
              </w:rPr>
            </w:pPr>
          </w:p>
        </w:tc>
        <w:tc>
          <w:tcPr>
            <w:tcW w:w="995" w:type="pct"/>
            <w:shd w:val="clear" w:color="auto" w:fill="D9E2F3" w:themeFill="accent1" w:themeFillTint="33"/>
            <w:vAlign w:val="center"/>
          </w:tcPr>
          <w:p w14:paraId="3AA41C18" w14:textId="77777777" w:rsidR="005F284C" w:rsidRPr="00845F73" w:rsidRDefault="005F284C" w:rsidP="00781430">
            <w:pPr>
              <w:jc w:val="center"/>
              <w:rPr>
                <w:rFonts w:cstheme="minorHAnsi"/>
                <w:b/>
              </w:rPr>
            </w:pPr>
            <w:r w:rsidRPr="00845F73">
              <w:rPr>
                <w:rFonts w:cstheme="minorHAnsi"/>
                <w:b/>
              </w:rPr>
              <w:t>Estimate</w:t>
            </w:r>
          </w:p>
          <w:p w14:paraId="44D698DD" w14:textId="77777777" w:rsidR="005F284C" w:rsidRPr="00845F73" w:rsidRDefault="005F284C" w:rsidP="00781430">
            <w:pPr>
              <w:jc w:val="center"/>
              <w:rPr>
                <w:rFonts w:cstheme="minorHAnsi"/>
                <w:b/>
              </w:rPr>
            </w:pPr>
            <w:r w:rsidRPr="00845F73">
              <w:rPr>
                <w:rFonts w:cstheme="minorHAnsi"/>
                <w:b/>
              </w:rPr>
              <w:t>(95% Confidence Interval)</w:t>
            </w:r>
          </w:p>
        </w:tc>
        <w:tc>
          <w:tcPr>
            <w:tcW w:w="601" w:type="pct"/>
            <w:shd w:val="clear" w:color="auto" w:fill="D9E2F3" w:themeFill="accent1" w:themeFillTint="33"/>
            <w:vAlign w:val="center"/>
          </w:tcPr>
          <w:p w14:paraId="77B32F72" w14:textId="77777777" w:rsidR="005F284C" w:rsidRPr="00845F73" w:rsidRDefault="005F284C" w:rsidP="00781430">
            <w:pPr>
              <w:jc w:val="center"/>
              <w:rPr>
                <w:rFonts w:cstheme="minorHAnsi"/>
                <w:b/>
              </w:rPr>
            </w:pPr>
            <w:r w:rsidRPr="00845F73">
              <w:rPr>
                <w:rFonts w:cstheme="minorHAnsi"/>
                <w:b/>
              </w:rPr>
              <w:t>Standard Error</w:t>
            </w:r>
          </w:p>
        </w:tc>
        <w:tc>
          <w:tcPr>
            <w:tcW w:w="340" w:type="pct"/>
            <w:shd w:val="clear" w:color="auto" w:fill="D9E2F3" w:themeFill="accent1" w:themeFillTint="33"/>
            <w:vAlign w:val="center"/>
          </w:tcPr>
          <w:p w14:paraId="30302E76" w14:textId="77777777" w:rsidR="005F284C" w:rsidRPr="00845F73" w:rsidRDefault="005F284C" w:rsidP="00781430">
            <w:pPr>
              <w:jc w:val="center"/>
              <w:rPr>
                <w:rFonts w:cstheme="minorHAnsi"/>
                <w:b/>
              </w:rPr>
            </w:pPr>
            <w:r w:rsidRPr="00845F73">
              <w:rPr>
                <w:rFonts w:cstheme="minorHAnsi"/>
                <w:b/>
              </w:rPr>
              <w:t>P value</w:t>
            </w:r>
          </w:p>
        </w:tc>
        <w:tc>
          <w:tcPr>
            <w:tcW w:w="995" w:type="pct"/>
            <w:shd w:val="clear" w:color="auto" w:fill="D9E2F3" w:themeFill="accent1" w:themeFillTint="33"/>
            <w:vAlign w:val="center"/>
          </w:tcPr>
          <w:p w14:paraId="43733D0F" w14:textId="77777777" w:rsidR="005F284C" w:rsidRPr="00845F73" w:rsidRDefault="005F284C" w:rsidP="00781430">
            <w:pPr>
              <w:jc w:val="center"/>
              <w:rPr>
                <w:rFonts w:cstheme="minorHAnsi"/>
                <w:b/>
              </w:rPr>
            </w:pPr>
            <w:r w:rsidRPr="00845F73">
              <w:rPr>
                <w:rFonts w:cstheme="minorHAnsi"/>
                <w:b/>
              </w:rPr>
              <w:t>Estimate</w:t>
            </w:r>
          </w:p>
          <w:p w14:paraId="36FA3A46" w14:textId="77777777" w:rsidR="005F284C" w:rsidRPr="00845F73" w:rsidRDefault="005F284C" w:rsidP="00781430">
            <w:pPr>
              <w:jc w:val="center"/>
              <w:rPr>
                <w:rFonts w:cstheme="minorHAnsi"/>
                <w:b/>
              </w:rPr>
            </w:pPr>
            <w:r w:rsidRPr="00845F73">
              <w:rPr>
                <w:rFonts w:cstheme="minorHAnsi"/>
                <w:b/>
              </w:rPr>
              <w:t>(95% Confidence Interval)</w:t>
            </w:r>
          </w:p>
        </w:tc>
        <w:tc>
          <w:tcPr>
            <w:tcW w:w="601" w:type="pct"/>
            <w:shd w:val="clear" w:color="auto" w:fill="D9E2F3" w:themeFill="accent1" w:themeFillTint="33"/>
            <w:vAlign w:val="center"/>
          </w:tcPr>
          <w:p w14:paraId="389A5065" w14:textId="77777777" w:rsidR="005F284C" w:rsidRPr="00845F73" w:rsidRDefault="005F284C" w:rsidP="00781430">
            <w:pPr>
              <w:jc w:val="center"/>
              <w:rPr>
                <w:rFonts w:cstheme="minorHAnsi"/>
                <w:b/>
              </w:rPr>
            </w:pPr>
            <w:r w:rsidRPr="00845F73">
              <w:rPr>
                <w:rFonts w:cstheme="minorHAnsi"/>
                <w:b/>
              </w:rPr>
              <w:t>Standard Error</w:t>
            </w:r>
          </w:p>
        </w:tc>
        <w:tc>
          <w:tcPr>
            <w:tcW w:w="339" w:type="pct"/>
            <w:shd w:val="clear" w:color="auto" w:fill="D9E2F3" w:themeFill="accent1" w:themeFillTint="33"/>
            <w:vAlign w:val="center"/>
          </w:tcPr>
          <w:p w14:paraId="130AF8AD" w14:textId="77777777" w:rsidR="005F284C" w:rsidRPr="00845F73" w:rsidRDefault="005F284C" w:rsidP="00781430">
            <w:pPr>
              <w:jc w:val="center"/>
              <w:rPr>
                <w:rFonts w:cstheme="minorHAnsi"/>
                <w:b/>
              </w:rPr>
            </w:pPr>
            <w:r w:rsidRPr="00845F73">
              <w:rPr>
                <w:rFonts w:cstheme="minorHAnsi"/>
                <w:b/>
              </w:rPr>
              <w:t>P value</w:t>
            </w:r>
          </w:p>
        </w:tc>
      </w:tr>
      <w:tr w:rsidR="005F284C" w:rsidRPr="0086735D" w14:paraId="234868F9" w14:textId="77777777" w:rsidTr="00781430">
        <w:trPr>
          <w:cnfStyle w:val="000000100000" w:firstRow="0" w:lastRow="0" w:firstColumn="0" w:lastColumn="0" w:oddVBand="0" w:evenVBand="0" w:oddHBand="1" w:evenHBand="0" w:firstRowFirstColumn="0" w:firstRowLastColumn="0" w:lastRowFirstColumn="0" w:lastRowLastColumn="0"/>
        </w:trPr>
        <w:tc>
          <w:tcPr>
            <w:tcW w:w="1128" w:type="pct"/>
          </w:tcPr>
          <w:p w14:paraId="4C562EA1" w14:textId="77777777" w:rsidR="005F284C" w:rsidRPr="00845F73" w:rsidRDefault="005F284C" w:rsidP="00781430">
            <w:pPr>
              <w:rPr>
                <w:rFonts w:cstheme="minorHAnsi"/>
              </w:rPr>
            </w:pPr>
            <w:r w:rsidRPr="00845F73">
              <w:rPr>
                <w:rFonts w:cstheme="minorHAnsi"/>
              </w:rPr>
              <w:t>Intercept, β</w:t>
            </w:r>
            <w:r w:rsidRPr="00845F73">
              <w:rPr>
                <w:rFonts w:cstheme="minorHAnsi"/>
                <w:vertAlign w:val="subscript"/>
              </w:rPr>
              <w:t>0</w:t>
            </w:r>
          </w:p>
        </w:tc>
        <w:tc>
          <w:tcPr>
            <w:tcW w:w="995" w:type="pct"/>
            <w:vAlign w:val="center"/>
          </w:tcPr>
          <w:p w14:paraId="2147B487" w14:textId="493A510E" w:rsidR="005F284C" w:rsidRPr="00845F73" w:rsidRDefault="00B13C9A" w:rsidP="00781430">
            <w:pPr>
              <w:jc w:val="center"/>
              <w:rPr>
                <w:rFonts w:cstheme="minorHAnsi"/>
              </w:rPr>
            </w:pPr>
            <w:r>
              <w:rPr>
                <w:rFonts w:cstheme="minorHAnsi"/>
              </w:rPr>
              <w:t>277.64 (</w:t>
            </w:r>
            <w:r w:rsidR="006361AE">
              <w:rPr>
                <w:rFonts w:cstheme="minorHAnsi"/>
              </w:rPr>
              <w:t>270.36</w:t>
            </w:r>
            <w:r>
              <w:rPr>
                <w:rFonts w:cstheme="minorHAnsi"/>
              </w:rPr>
              <w:t xml:space="preserve">, </w:t>
            </w:r>
            <w:r w:rsidR="008F3D31">
              <w:rPr>
                <w:rFonts w:cstheme="minorHAnsi"/>
              </w:rPr>
              <w:t>284.92)</w:t>
            </w:r>
            <w:r>
              <w:rPr>
                <w:rFonts w:cstheme="minorHAnsi"/>
              </w:rPr>
              <w:t xml:space="preserve"> </w:t>
            </w:r>
          </w:p>
        </w:tc>
        <w:tc>
          <w:tcPr>
            <w:tcW w:w="601" w:type="pct"/>
            <w:vAlign w:val="center"/>
          </w:tcPr>
          <w:p w14:paraId="56E550F2" w14:textId="7CF48F76" w:rsidR="005F284C" w:rsidRPr="00845F73" w:rsidRDefault="008F3D31" w:rsidP="00781430">
            <w:pPr>
              <w:jc w:val="center"/>
              <w:rPr>
                <w:rFonts w:cstheme="minorHAnsi"/>
              </w:rPr>
            </w:pPr>
            <w:r>
              <w:rPr>
                <w:rFonts w:cstheme="minorHAnsi"/>
              </w:rPr>
              <w:t>3.60</w:t>
            </w:r>
          </w:p>
        </w:tc>
        <w:tc>
          <w:tcPr>
            <w:tcW w:w="340" w:type="pct"/>
            <w:vAlign w:val="center"/>
          </w:tcPr>
          <w:p w14:paraId="365F2CB4" w14:textId="1CA3AA7E" w:rsidR="005F284C" w:rsidRPr="00845F73" w:rsidRDefault="008F3D31" w:rsidP="00781430">
            <w:pPr>
              <w:jc w:val="center"/>
              <w:rPr>
                <w:rFonts w:cstheme="minorHAnsi"/>
              </w:rPr>
            </w:pPr>
            <w:r>
              <w:rPr>
                <w:rFonts w:cstheme="minorHAnsi"/>
              </w:rPr>
              <w:t>&lt;0.01</w:t>
            </w:r>
          </w:p>
        </w:tc>
        <w:tc>
          <w:tcPr>
            <w:tcW w:w="995" w:type="pct"/>
          </w:tcPr>
          <w:p w14:paraId="7C42D898" w14:textId="50EEA6B8" w:rsidR="005F284C" w:rsidRPr="00845F73" w:rsidRDefault="003168D0" w:rsidP="00781430">
            <w:pPr>
              <w:jc w:val="center"/>
              <w:rPr>
                <w:rFonts w:cstheme="minorHAnsi"/>
              </w:rPr>
            </w:pPr>
            <w:r>
              <w:rPr>
                <w:rFonts w:cstheme="minorHAnsi"/>
              </w:rPr>
              <w:t>172.57</w:t>
            </w:r>
            <w:r w:rsidR="000B39CD">
              <w:rPr>
                <w:rFonts w:cstheme="minorHAnsi"/>
              </w:rPr>
              <w:t xml:space="preserve"> (167.85, 177.28)</w:t>
            </w:r>
          </w:p>
        </w:tc>
        <w:tc>
          <w:tcPr>
            <w:tcW w:w="601" w:type="pct"/>
          </w:tcPr>
          <w:p w14:paraId="2B7C2BF1" w14:textId="46A6F721" w:rsidR="005F284C" w:rsidRPr="00845F73" w:rsidRDefault="003168D0" w:rsidP="00781430">
            <w:pPr>
              <w:jc w:val="center"/>
              <w:rPr>
                <w:rFonts w:cstheme="minorHAnsi"/>
              </w:rPr>
            </w:pPr>
            <w:r>
              <w:rPr>
                <w:rFonts w:cstheme="minorHAnsi"/>
              </w:rPr>
              <w:t>2.33</w:t>
            </w:r>
          </w:p>
        </w:tc>
        <w:tc>
          <w:tcPr>
            <w:tcW w:w="339" w:type="pct"/>
          </w:tcPr>
          <w:p w14:paraId="55AE859B" w14:textId="3A7C202F" w:rsidR="005F284C" w:rsidRPr="00845F73" w:rsidRDefault="003168D0" w:rsidP="00781430">
            <w:pPr>
              <w:jc w:val="center"/>
              <w:rPr>
                <w:rFonts w:cstheme="minorHAnsi"/>
              </w:rPr>
            </w:pPr>
            <w:r>
              <w:rPr>
                <w:rFonts w:cstheme="minorHAnsi"/>
              </w:rPr>
              <w:t>&lt;0.01</w:t>
            </w:r>
          </w:p>
        </w:tc>
      </w:tr>
      <w:tr w:rsidR="005F284C" w:rsidRPr="0086735D" w14:paraId="52A23903" w14:textId="77777777" w:rsidTr="00781430">
        <w:tc>
          <w:tcPr>
            <w:tcW w:w="1128" w:type="pct"/>
          </w:tcPr>
          <w:p w14:paraId="2BEFCDE2" w14:textId="77777777" w:rsidR="005F284C" w:rsidRPr="00845F73" w:rsidRDefault="005F284C" w:rsidP="00781430">
            <w:pPr>
              <w:rPr>
                <w:rFonts w:cstheme="minorHAnsi"/>
              </w:rPr>
            </w:pPr>
            <w:r w:rsidRPr="00845F73">
              <w:rPr>
                <w:rFonts w:cstheme="minorHAnsi"/>
              </w:rPr>
              <w:t>Pre-Intervention Trend, β</w:t>
            </w:r>
            <w:r w:rsidRPr="00845F73">
              <w:rPr>
                <w:rFonts w:cstheme="minorHAnsi"/>
                <w:vertAlign w:val="subscript"/>
              </w:rPr>
              <w:t>1</w:t>
            </w:r>
          </w:p>
        </w:tc>
        <w:tc>
          <w:tcPr>
            <w:tcW w:w="995" w:type="pct"/>
            <w:vAlign w:val="center"/>
          </w:tcPr>
          <w:p w14:paraId="29BA1E23" w14:textId="55B45482" w:rsidR="005F284C" w:rsidRPr="00845F73" w:rsidRDefault="008F3D31" w:rsidP="00781430">
            <w:pPr>
              <w:jc w:val="center"/>
              <w:rPr>
                <w:rFonts w:cstheme="minorHAnsi"/>
              </w:rPr>
            </w:pPr>
            <w:r>
              <w:rPr>
                <w:rFonts w:cstheme="minorHAnsi"/>
              </w:rPr>
              <w:t xml:space="preserve">2.57 (1.81, </w:t>
            </w:r>
            <w:r w:rsidR="00522EB2">
              <w:rPr>
                <w:rFonts w:cstheme="minorHAnsi"/>
              </w:rPr>
              <w:t>3.32)</w:t>
            </w:r>
          </w:p>
        </w:tc>
        <w:tc>
          <w:tcPr>
            <w:tcW w:w="601" w:type="pct"/>
            <w:vAlign w:val="center"/>
          </w:tcPr>
          <w:p w14:paraId="6422DFAE" w14:textId="51B71B3C" w:rsidR="005F284C" w:rsidRPr="00845F73" w:rsidRDefault="00522EB2" w:rsidP="00781430">
            <w:pPr>
              <w:jc w:val="center"/>
              <w:rPr>
                <w:rFonts w:cstheme="minorHAnsi"/>
              </w:rPr>
            </w:pPr>
            <w:r>
              <w:rPr>
                <w:rFonts w:cstheme="minorHAnsi"/>
              </w:rPr>
              <w:t>0.37</w:t>
            </w:r>
          </w:p>
        </w:tc>
        <w:tc>
          <w:tcPr>
            <w:tcW w:w="340" w:type="pct"/>
            <w:vAlign w:val="center"/>
          </w:tcPr>
          <w:p w14:paraId="28EC148B" w14:textId="30FACB07" w:rsidR="005F284C" w:rsidRPr="00845F73" w:rsidRDefault="00522EB2" w:rsidP="00781430">
            <w:pPr>
              <w:jc w:val="center"/>
              <w:rPr>
                <w:rFonts w:cstheme="minorHAnsi"/>
              </w:rPr>
            </w:pPr>
            <w:r>
              <w:rPr>
                <w:rFonts w:cstheme="minorHAnsi"/>
              </w:rPr>
              <w:t>&lt;0.01</w:t>
            </w:r>
          </w:p>
        </w:tc>
        <w:tc>
          <w:tcPr>
            <w:tcW w:w="995" w:type="pct"/>
          </w:tcPr>
          <w:p w14:paraId="03DCD56B" w14:textId="5BACB6F1" w:rsidR="005F284C" w:rsidRPr="00845F73" w:rsidRDefault="001C0D4B" w:rsidP="00781430">
            <w:pPr>
              <w:jc w:val="center"/>
              <w:rPr>
                <w:rFonts w:cstheme="minorHAnsi"/>
              </w:rPr>
            </w:pPr>
            <w:r>
              <w:rPr>
                <w:rFonts w:cstheme="minorHAnsi"/>
              </w:rPr>
              <w:t>1.84</w:t>
            </w:r>
            <w:r w:rsidR="000B39CD">
              <w:rPr>
                <w:rFonts w:cstheme="minorHAnsi"/>
              </w:rPr>
              <w:t xml:space="preserve"> (1.36, </w:t>
            </w:r>
            <w:r w:rsidR="00053210">
              <w:rPr>
                <w:rFonts w:cstheme="minorHAnsi"/>
              </w:rPr>
              <w:t>2.33)</w:t>
            </w:r>
          </w:p>
        </w:tc>
        <w:tc>
          <w:tcPr>
            <w:tcW w:w="601" w:type="pct"/>
          </w:tcPr>
          <w:p w14:paraId="49F410D5" w14:textId="1641D985" w:rsidR="005F284C" w:rsidRPr="00845F73" w:rsidRDefault="001C0D4B" w:rsidP="00781430">
            <w:pPr>
              <w:jc w:val="center"/>
              <w:rPr>
                <w:rFonts w:cstheme="minorHAnsi"/>
              </w:rPr>
            </w:pPr>
            <w:r>
              <w:rPr>
                <w:rFonts w:cstheme="minorHAnsi"/>
              </w:rPr>
              <w:t>0.24</w:t>
            </w:r>
          </w:p>
        </w:tc>
        <w:tc>
          <w:tcPr>
            <w:tcW w:w="339" w:type="pct"/>
          </w:tcPr>
          <w:p w14:paraId="3336A69A" w14:textId="1A697A89" w:rsidR="005F284C" w:rsidRPr="00845F73" w:rsidRDefault="001C0D4B" w:rsidP="00781430">
            <w:pPr>
              <w:jc w:val="center"/>
              <w:rPr>
                <w:rFonts w:cstheme="minorHAnsi"/>
              </w:rPr>
            </w:pPr>
            <w:r>
              <w:rPr>
                <w:rFonts w:cstheme="minorHAnsi"/>
              </w:rPr>
              <w:t>&lt;0.01</w:t>
            </w:r>
          </w:p>
        </w:tc>
      </w:tr>
      <w:tr w:rsidR="005F284C" w:rsidRPr="0086735D" w14:paraId="62F7BF63" w14:textId="77777777" w:rsidTr="00781430">
        <w:trPr>
          <w:cnfStyle w:val="000000100000" w:firstRow="0" w:lastRow="0" w:firstColumn="0" w:lastColumn="0" w:oddVBand="0" w:evenVBand="0" w:oddHBand="1" w:evenHBand="0" w:firstRowFirstColumn="0" w:firstRowLastColumn="0" w:lastRowFirstColumn="0" w:lastRowLastColumn="0"/>
        </w:trPr>
        <w:tc>
          <w:tcPr>
            <w:tcW w:w="1128" w:type="pct"/>
            <w:vAlign w:val="center"/>
          </w:tcPr>
          <w:p w14:paraId="3472047A" w14:textId="77777777" w:rsidR="005F284C" w:rsidRPr="00845F73" w:rsidRDefault="005F284C" w:rsidP="00781430">
            <w:pPr>
              <w:rPr>
                <w:rFonts w:cstheme="minorHAnsi"/>
              </w:rPr>
            </w:pPr>
            <w:r w:rsidRPr="00845F73">
              <w:rPr>
                <w:rFonts w:cstheme="minorHAnsi"/>
              </w:rPr>
              <w:t>Change in Level, β</w:t>
            </w:r>
            <w:r w:rsidRPr="00845F73">
              <w:rPr>
                <w:rFonts w:cstheme="minorHAnsi"/>
                <w:vertAlign w:val="subscript"/>
              </w:rPr>
              <w:t>2</w:t>
            </w:r>
          </w:p>
        </w:tc>
        <w:tc>
          <w:tcPr>
            <w:tcW w:w="995" w:type="pct"/>
            <w:vAlign w:val="center"/>
          </w:tcPr>
          <w:p w14:paraId="152294BD" w14:textId="35D0D2A7" w:rsidR="005F284C" w:rsidRPr="00845F73" w:rsidRDefault="00522EB2" w:rsidP="00781430">
            <w:pPr>
              <w:jc w:val="center"/>
              <w:rPr>
                <w:rFonts w:cstheme="minorHAnsi"/>
              </w:rPr>
            </w:pPr>
            <w:r>
              <w:rPr>
                <w:rFonts w:cstheme="minorHAnsi"/>
              </w:rPr>
              <w:t>7.19 (</w:t>
            </w:r>
            <w:r w:rsidR="007819CF">
              <w:rPr>
                <w:rFonts w:cstheme="minorHAnsi"/>
              </w:rPr>
              <w:t>-1.49, 15.87)</w:t>
            </w:r>
          </w:p>
        </w:tc>
        <w:tc>
          <w:tcPr>
            <w:tcW w:w="601" w:type="pct"/>
            <w:vAlign w:val="center"/>
          </w:tcPr>
          <w:p w14:paraId="6AB0D705" w14:textId="198B449F" w:rsidR="005F284C" w:rsidRPr="00845F73" w:rsidRDefault="007819CF" w:rsidP="00781430">
            <w:pPr>
              <w:jc w:val="center"/>
              <w:rPr>
                <w:rFonts w:cstheme="minorHAnsi"/>
              </w:rPr>
            </w:pPr>
            <w:r>
              <w:rPr>
                <w:rFonts w:cstheme="minorHAnsi"/>
              </w:rPr>
              <w:t>4.29</w:t>
            </w:r>
          </w:p>
        </w:tc>
        <w:tc>
          <w:tcPr>
            <w:tcW w:w="340" w:type="pct"/>
            <w:vAlign w:val="center"/>
          </w:tcPr>
          <w:p w14:paraId="1D35DC25" w14:textId="2E6ABCA2" w:rsidR="005F284C" w:rsidRPr="00845F73" w:rsidRDefault="007819CF" w:rsidP="00781430">
            <w:pPr>
              <w:jc w:val="center"/>
              <w:rPr>
                <w:rFonts w:cstheme="minorHAnsi"/>
              </w:rPr>
            </w:pPr>
            <w:r>
              <w:rPr>
                <w:rFonts w:cstheme="minorHAnsi"/>
              </w:rPr>
              <w:t>0.102</w:t>
            </w:r>
          </w:p>
        </w:tc>
        <w:tc>
          <w:tcPr>
            <w:tcW w:w="995" w:type="pct"/>
          </w:tcPr>
          <w:p w14:paraId="364B3E8D" w14:textId="6E127DA5" w:rsidR="005F284C" w:rsidRPr="00845F73" w:rsidRDefault="001C0D4B" w:rsidP="00781430">
            <w:pPr>
              <w:jc w:val="center"/>
              <w:rPr>
                <w:rFonts w:cstheme="minorHAnsi"/>
              </w:rPr>
            </w:pPr>
            <w:r>
              <w:rPr>
                <w:rFonts w:cstheme="minorHAnsi"/>
              </w:rPr>
              <w:t>4.79</w:t>
            </w:r>
            <w:r w:rsidR="00053210">
              <w:rPr>
                <w:rFonts w:cstheme="minorHAnsi"/>
              </w:rPr>
              <w:t xml:space="preserve"> (-0.84, 10.41)</w:t>
            </w:r>
          </w:p>
        </w:tc>
        <w:tc>
          <w:tcPr>
            <w:tcW w:w="601" w:type="pct"/>
          </w:tcPr>
          <w:p w14:paraId="7FAB6928" w14:textId="109D0B73" w:rsidR="005F284C" w:rsidRPr="00845F73" w:rsidRDefault="0002135F" w:rsidP="00781430">
            <w:pPr>
              <w:jc w:val="center"/>
              <w:rPr>
                <w:rFonts w:cstheme="minorHAnsi"/>
              </w:rPr>
            </w:pPr>
            <w:r>
              <w:rPr>
                <w:rFonts w:cstheme="minorHAnsi"/>
              </w:rPr>
              <w:t>2.78</w:t>
            </w:r>
          </w:p>
        </w:tc>
        <w:tc>
          <w:tcPr>
            <w:tcW w:w="339" w:type="pct"/>
          </w:tcPr>
          <w:p w14:paraId="6DEE1DBD" w14:textId="63C3F285" w:rsidR="005F284C" w:rsidRPr="00845F73" w:rsidRDefault="0002135F" w:rsidP="00781430">
            <w:pPr>
              <w:jc w:val="center"/>
              <w:rPr>
                <w:rFonts w:cstheme="minorHAnsi"/>
              </w:rPr>
            </w:pPr>
            <w:r>
              <w:rPr>
                <w:rFonts w:cstheme="minorHAnsi"/>
              </w:rPr>
              <w:t>0.09</w:t>
            </w:r>
          </w:p>
        </w:tc>
      </w:tr>
      <w:tr w:rsidR="005F284C" w:rsidRPr="0086735D" w14:paraId="0FB47E0E" w14:textId="77777777" w:rsidTr="00781430">
        <w:tc>
          <w:tcPr>
            <w:tcW w:w="1128" w:type="pct"/>
          </w:tcPr>
          <w:p w14:paraId="5576302D" w14:textId="77777777" w:rsidR="005F284C" w:rsidRPr="002B4EEE" w:rsidRDefault="005F284C" w:rsidP="00781430">
            <w:pPr>
              <w:rPr>
                <w:rFonts w:cstheme="minorHAnsi"/>
                <w:b/>
                <w:bCs/>
              </w:rPr>
            </w:pPr>
            <w:r w:rsidRPr="002B4EEE">
              <w:rPr>
                <w:rFonts w:cstheme="minorHAnsi"/>
                <w:b/>
                <w:bCs/>
              </w:rPr>
              <w:t>Change in Trend, β</w:t>
            </w:r>
            <w:r w:rsidRPr="002B4EEE">
              <w:rPr>
                <w:rFonts w:cstheme="minorHAnsi"/>
                <w:b/>
                <w:bCs/>
                <w:vertAlign w:val="subscript"/>
              </w:rPr>
              <w:t>3</w:t>
            </w:r>
          </w:p>
        </w:tc>
        <w:tc>
          <w:tcPr>
            <w:tcW w:w="995" w:type="pct"/>
            <w:vAlign w:val="center"/>
          </w:tcPr>
          <w:p w14:paraId="322307D0" w14:textId="49A6913D" w:rsidR="005F284C" w:rsidRPr="002B4EEE" w:rsidRDefault="007819CF" w:rsidP="00781430">
            <w:pPr>
              <w:jc w:val="center"/>
              <w:rPr>
                <w:rFonts w:cstheme="minorHAnsi"/>
                <w:b/>
                <w:bCs/>
              </w:rPr>
            </w:pPr>
            <w:r>
              <w:rPr>
                <w:rFonts w:cstheme="minorHAnsi"/>
                <w:b/>
                <w:bCs/>
              </w:rPr>
              <w:t>-3.08 (</w:t>
            </w:r>
            <w:r w:rsidR="003B6FBD">
              <w:rPr>
                <w:rFonts w:cstheme="minorHAnsi"/>
                <w:b/>
                <w:bCs/>
              </w:rPr>
              <w:t>-3.91, -2.24)</w:t>
            </w:r>
          </w:p>
        </w:tc>
        <w:tc>
          <w:tcPr>
            <w:tcW w:w="601" w:type="pct"/>
            <w:vAlign w:val="center"/>
          </w:tcPr>
          <w:p w14:paraId="04EF8BC3" w14:textId="6827DEBA" w:rsidR="005F284C" w:rsidRPr="002B4EEE" w:rsidRDefault="003B6FBD" w:rsidP="00781430">
            <w:pPr>
              <w:jc w:val="center"/>
              <w:rPr>
                <w:rFonts w:cstheme="minorHAnsi"/>
                <w:b/>
                <w:bCs/>
              </w:rPr>
            </w:pPr>
            <w:r>
              <w:rPr>
                <w:rFonts w:cstheme="minorHAnsi"/>
                <w:b/>
                <w:bCs/>
              </w:rPr>
              <w:t>0.41</w:t>
            </w:r>
          </w:p>
        </w:tc>
        <w:tc>
          <w:tcPr>
            <w:tcW w:w="340" w:type="pct"/>
            <w:vAlign w:val="center"/>
          </w:tcPr>
          <w:p w14:paraId="74D1591B" w14:textId="570C5763" w:rsidR="005F284C" w:rsidRPr="002B4EEE" w:rsidRDefault="003B6FBD" w:rsidP="00781430">
            <w:pPr>
              <w:jc w:val="center"/>
              <w:rPr>
                <w:rFonts w:cstheme="minorHAnsi"/>
                <w:b/>
                <w:bCs/>
              </w:rPr>
            </w:pPr>
            <w:r>
              <w:rPr>
                <w:rFonts w:cstheme="minorHAnsi"/>
                <w:b/>
                <w:bCs/>
              </w:rPr>
              <w:t>&lt;0.01</w:t>
            </w:r>
          </w:p>
        </w:tc>
        <w:tc>
          <w:tcPr>
            <w:tcW w:w="995" w:type="pct"/>
          </w:tcPr>
          <w:p w14:paraId="1E545387" w14:textId="6F6E8710" w:rsidR="005F284C" w:rsidRPr="002B4EEE" w:rsidRDefault="001C0D4B" w:rsidP="00781430">
            <w:pPr>
              <w:jc w:val="center"/>
              <w:rPr>
                <w:rFonts w:cstheme="minorHAnsi"/>
                <w:b/>
                <w:bCs/>
              </w:rPr>
            </w:pPr>
            <w:r>
              <w:rPr>
                <w:rFonts w:cstheme="minorHAnsi"/>
                <w:b/>
                <w:bCs/>
              </w:rPr>
              <w:t>-2.27</w:t>
            </w:r>
            <w:r w:rsidR="00053210">
              <w:rPr>
                <w:rFonts w:cstheme="minorHAnsi"/>
                <w:b/>
                <w:bCs/>
              </w:rPr>
              <w:t xml:space="preserve"> (-2.81, </w:t>
            </w:r>
            <w:r w:rsidR="00EB1824">
              <w:rPr>
                <w:rFonts w:cstheme="minorHAnsi"/>
                <w:b/>
                <w:bCs/>
              </w:rPr>
              <w:t>-1.73)</w:t>
            </w:r>
          </w:p>
        </w:tc>
        <w:tc>
          <w:tcPr>
            <w:tcW w:w="601" w:type="pct"/>
          </w:tcPr>
          <w:p w14:paraId="2415191E" w14:textId="71FD7796" w:rsidR="005F284C" w:rsidRPr="002B4EEE" w:rsidRDefault="0002135F" w:rsidP="00781430">
            <w:pPr>
              <w:jc w:val="center"/>
              <w:rPr>
                <w:rFonts w:cstheme="minorHAnsi"/>
                <w:b/>
                <w:bCs/>
              </w:rPr>
            </w:pPr>
            <w:r>
              <w:rPr>
                <w:rFonts w:cstheme="minorHAnsi"/>
                <w:b/>
                <w:bCs/>
              </w:rPr>
              <w:t>0.27</w:t>
            </w:r>
          </w:p>
        </w:tc>
        <w:tc>
          <w:tcPr>
            <w:tcW w:w="339" w:type="pct"/>
          </w:tcPr>
          <w:p w14:paraId="58715AC8" w14:textId="1D9A437E" w:rsidR="005F284C" w:rsidRPr="002B4EEE" w:rsidRDefault="0002135F" w:rsidP="00781430">
            <w:pPr>
              <w:jc w:val="center"/>
              <w:rPr>
                <w:rFonts w:cstheme="minorHAnsi"/>
                <w:b/>
                <w:bCs/>
              </w:rPr>
            </w:pPr>
            <w:r>
              <w:rPr>
                <w:rFonts w:cstheme="minorHAnsi"/>
                <w:b/>
                <w:bCs/>
              </w:rPr>
              <w:t>&lt;0.01</w:t>
            </w:r>
          </w:p>
        </w:tc>
      </w:tr>
      <w:tr w:rsidR="005F284C" w:rsidRPr="0086735D" w14:paraId="6051ED8D" w14:textId="77777777" w:rsidTr="00781430">
        <w:trPr>
          <w:cnfStyle w:val="000000100000" w:firstRow="0" w:lastRow="0" w:firstColumn="0" w:lastColumn="0" w:oddVBand="0" w:evenVBand="0" w:oddHBand="1" w:evenHBand="0" w:firstRowFirstColumn="0" w:firstRowLastColumn="0" w:lastRowFirstColumn="0" w:lastRowLastColumn="0"/>
        </w:trPr>
        <w:tc>
          <w:tcPr>
            <w:tcW w:w="1128" w:type="pct"/>
          </w:tcPr>
          <w:p w14:paraId="1A5498EF" w14:textId="77777777" w:rsidR="005F284C" w:rsidRPr="002B4EEE" w:rsidRDefault="005F284C" w:rsidP="00781430">
            <w:pPr>
              <w:rPr>
                <w:rFonts w:cstheme="minorHAnsi"/>
                <w:b/>
                <w:bCs/>
              </w:rPr>
            </w:pPr>
            <w:r w:rsidRPr="002B4EEE">
              <w:rPr>
                <w:rFonts w:cstheme="minorHAnsi"/>
                <w:b/>
                <w:bCs/>
              </w:rPr>
              <w:t>Post-Intervention Trend, β</w:t>
            </w:r>
            <w:r w:rsidRPr="002B4EEE">
              <w:rPr>
                <w:rFonts w:cstheme="minorHAnsi"/>
                <w:b/>
                <w:bCs/>
                <w:vertAlign w:val="subscript"/>
              </w:rPr>
              <w:t>1+3</w:t>
            </w:r>
          </w:p>
        </w:tc>
        <w:tc>
          <w:tcPr>
            <w:tcW w:w="995" w:type="pct"/>
          </w:tcPr>
          <w:p w14:paraId="3A7BC4FE" w14:textId="330CCDC0" w:rsidR="005F284C" w:rsidRPr="002B4EEE" w:rsidRDefault="00BE1C64" w:rsidP="00781430">
            <w:pPr>
              <w:jc w:val="center"/>
              <w:rPr>
                <w:rFonts w:cstheme="minorHAnsi"/>
                <w:b/>
                <w:bCs/>
              </w:rPr>
            </w:pPr>
            <w:r>
              <w:rPr>
                <w:rFonts w:cstheme="minorHAnsi"/>
                <w:b/>
                <w:bCs/>
              </w:rPr>
              <w:t>-0.51 (-0.90, -0.12)</w:t>
            </w:r>
          </w:p>
        </w:tc>
        <w:tc>
          <w:tcPr>
            <w:tcW w:w="601" w:type="pct"/>
          </w:tcPr>
          <w:p w14:paraId="394118A5" w14:textId="761A8EEF" w:rsidR="005F284C" w:rsidRPr="002B4EEE" w:rsidRDefault="00BE1C64" w:rsidP="00781430">
            <w:pPr>
              <w:jc w:val="center"/>
              <w:rPr>
                <w:rFonts w:cstheme="minorHAnsi"/>
                <w:b/>
                <w:bCs/>
              </w:rPr>
            </w:pPr>
            <w:r>
              <w:rPr>
                <w:rFonts w:cstheme="minorHAnsi"/>
                <w:b/>
                <w:bCs/>
              </w:rPr>
              <w:t>0.19</w:t>
            </w:r>
          </w:p>
        </w:tc>
        <w:tc>
          <w:tcPr>
            <w:tcW w:w="340" w:type="pct"/>
          </w:tcPr>
          <w:p w14:paraId="115B39A7" w14:textId="66AA0349" w:rsidR="005F284C" w:rsidRPr="002B4EEE" w:rsidRDefault="00606FDB" w:rsidP="00781430">
            <w:pPr>
              <w:jc w:val="center"/>
              <w:rPr>
                <w:rFonts w:cstheme="minorHAnsi"/>
                <w:b/>
                <w:bCs/>
              </w:rPr>
            </w:pPr>
            <w:r>
              <w:rPr>
                <w:rFonts w:cstheme="minorHAnsi"/>
                <w:b/>
                <w:bCs/>
              </w:rPr>
              <w:t>0.01</w:t>
            </w:r>
          </w:p>
        </w:tc>
        <w:tc>
          <w:tcPr>
            <w:tcW w:w="995" w:type="pct"/>
          </w:tcPr>
          <w:p w14:paraId="73BF689F" w14:textId="5B8D9139" w:rsidR="005F284C" w:rsidRPr="002B4EEE" w:rsidRDefault="00EB1824" w:rsidP="00781430">
            <w:pPr>
              <w:jc w:val="center"/>
              <w:rPr>
                <w:rFonts w:cstheme="minorHAnsi"/>
                <w:b/>
                <w:bCs/>
              </w:rPr>
            </w:pPr>
            <w:r>
              <w:rPr>
                <w:rFonts w:cstheme="minorHAnsi"/>
                <w:b/>
                <w:bCs/>
              </w:rPr>
              <w:t>-0.43 (</w:t>
            </w:r>
            <w:r w:rsidR="005570CE">
              <w:rPr>
                <w:rFonts w:cstheme="minorHAnsi"/>
                <w:b/>
                <w:bCs/>
              </w:rPr>
              <w:t>-0.6</w:t>
            </w:r>
            <w:r w:rsidR="002A70E6">
              <w:rPr>
                <w:rFonts w:cstheme="minorHAnsi"/>
                <w:b/>
                <w:bCs/>
              </w:rPr>
              <w:t>8, -0.18)</w:t>
            </w:r>
          </w:p>
        </w:tc>
        <w:tc>
          <w:tcPr>
            <w:tcW w:w="601" w:type="pct"/>
          </w:tcPr>
          <w:p w14:paraId="111D9B5E" w14:textId="4A0A6D01" w:rsidR="005F284C" w:rsidRPr="002B4EEE" w:rsidRDefault="00EB1824" w:rsidP="00781430">
            <w:pPr>
              <w:jc w:val="center"/>
              <w:rPr>
                <w:rFonts w:cstheme="minorHAnsi"/>
                <w:b/>
                <w:bCs/>
              </w:rPr>
            </w:pPr>
            <w:r>
              <w:rPr>
                <w:rFonts w:cstheme="minorHAnsi"/>
                <w:b/>
                <w:bCs/>
              </w:rPr>
              <w:t>0.12</w:t>
            </w:r>
          </w:p>
        </w:tc>
        <w:tc>
          <w:tcPr>
            <w:tcW w:w="339" w:type="pct"/>
          </w:tcPr>
          <w:p w14:paraId="37DE2583" w14:textId="71219FE7" w:rsidR="005F284C" w:rsidRPr="002B4EEE" w:rsidRDefault="00EB1824" w:rsidP="00781430">
            <w:pPr>
              <w:jc w:val="center"/>
              <w:rPr>
                <w:rFonts w:cstheme="minorHAnsi"/>
                <w:b/>
                <w:bCs/>
              </w:rPr>
            </w:pPr>
            <w:r>
              <w:rPr>
                <w:rFonts w:cstheme="minorHAnsi"/>
                <w:b/>
                <w:bCs/>
              </w:rPr>
              <w:t>&lt;0.01</w:t>
            </w:r>
          </w:p>
        </w:tc>
      </w:tr>
      <w:tr w:rsidR="005F284C" w:rsidRPr="0086735D" w14:paraId="1CA9E425" w14:textId="77777777" w:rsidTr="00781430">
        <w:tc>
          <w:tcPr>
            <w:tcW w:w="1128" w:type="pct"/>
          </w:tcPr>
          <w:p w14:paraId="421327B1" w14:textId="77777777" w:rsidR="005F284C" w:rsidRPr="002B4EEE" w:rsidRDefault="005F284C" w:rsidP="00781430">
            <w:pPr>
              <w:rPr>
                <w:rFonts w:cstheme="minorHAnsi"/>
                <w:b/>
                <w:bCs/>
              </w:rPr>
            </w:pPr>
            <w:r w:rsidRPr="002B4EEE">
              <w:rPr>
                <w:rFonts w:cstheme="minorHAnsi"/>
                <w:b/>
                <w:bCs/>
              </w:rPr>
              <w:t>Relative Change, %</w:t>
            </w:r>
            <w:r w:rsidRPr="002B4EEE">
              <w:rPr>
                <w:rFonts w:cstheme="minorHAnsi"/>
                <w:b/>
                <w:bCs/>
                <w:vertAlign w:val="superscript"/>
              </w:rPr>
              <w:t>a</w:t>
            </w:r>
          </w:p>
        </w:tc>
        <w:tc>
          <w:tcPr>
            <w:tcW w:w="995" w:type="pct"/>
            <w:vAlign w:val="center"/>
          </w:tcPr>
          <w:p w14:paraId="73E69999" w14:textId="6321E348" w:rsidR="005F284C" w:rsidRPr="002B4EEE" w:rsidRDefault="00C131BB" w:rsidP="00781430">
            <w:pPr>
              <w:jc w:val="center"/>
              <w:rPr>
                <w:rFonts w:cstheme="minorHAnsi"/>
                <w:b/>
                <w:bCs/>
              </w:rPr>
            </w:pPr>
            <w:r>
              <w:rPr>
                <w:rFonts w:cstheme="minorHAnsi"/>
                <w:b/>
                <w:bCs/>
              </w:rPr>
              <w:t>-18</w:t>
            </w:r>
            <w:r w:rsidR="003C7745">
              <w:rPr>
                <w:rFonts w:cstheme="minorHAnsi"/>
                <w:b/>
                <w:bCs/>
              </w:rPr>
              <w:t>.90 (</w:t>
            </w:r>
            <w:r w:rsidR="00D248B6">
              <w:rPr>
                <w:rFonts w:cstheme="minorHAnsi"/>
                <w:b/>
                <w:bCs/>
              </w:rPr>
              <w:t>-23</w:t>
            </w:r>
            <w:r w:rsidR="00823354">
              <w:rPr>
                <w:rFonts w:cstheme="minorHAnsi"/>
                <w:b/>
                <w:bCs/>
              </w:rPr>
              <w:t>.37, -13.04)</w:t>
            </w:r>
          </w:p>
        </w:tc>
        <w:tc>
          <w:tcPr>
            <w:tcW w:w="601" w:type="pct"/>
            <w:vAlign w:val="center"/>
          </w:tcPr>
          <w:p w14:paraId="709F7CCA" w14:textId="77777777" w:rsidR="005F284C" w:rsidRPr="002B4EEE" w:rsidRDefault="005F284C" w:rsidP="00781430">
            <w:pPr>
              <w:jc w:val="center"/>
              <w:rPr>
                <w:rFonts w:cstheme="minorHAnsi"/>
                <w:b/>
                <w:bCs/>
              </w:rPr>
            </w:pPr>
            <w:r w:rsidRPr="002B4EEE">
              <w:rPr>
                <w:rFonts w:cstheme="minorHAnsi"/>
                <w:b/>
                <w:bCs/>
              </w:rPr>
              <w:t>n/a</w:t>
            </w:r>
          </w:p>
        </w:tc>
        <w:tc>
          <w:tcPr>
            <w:tcW w:w="340" w:type="pct"/>
            <w:vAlign w:val="center"/>
          </w:tcPr>
          <w:p w14:paraId="3183351D" w14:textId="77777777" w:rsidR="005F284C" w:rsidRPr="002B4EEE" w:rsidRDefault="005F284C" w:rsidP="00781430">
            <w:pPr>
              <w:jc w:val="center"/>
              <w:rPr>
                <w:rFonts w:cstheme="minorHAnsi"/>
                <w:b/>
                <w:bCs/>
              </w:rPr>
            </w:pPr>
            <w:r w:rsidRPr="002B4EEE">
              <w:rPr>
                <w:rFonts w:cstheme="minorHAnsi"/>
                <w:b/>
                <w:bCs/>
              </w:rPr>
              <w:t>n/a</w:t>
            </w:r>
          </w:p>
        </w:tc>
        <w:tc>
          <w:tcPr>
            <w:tcW w:w="995" w:type="pct"/>
          </w:tcPr>
          <w:p w14:paraId="11996A63" w14:textId="4B75BAB5" w:rsidR="005F284C" w:rsidRPr="002B4EEE" w:rsidRDefault="00A65396" w:rsidP="00781430">
            <w:pPr>
              <w:jc w:val="center"/>
              <w:rPr>
                <w:rFonts w:cstheme="minorHAnsi"/>
                <w:b/>
                <w:bCs/>
              </w:rPr>
            </w:pPr>
            <w:r>
              <w:rPr>
                <w:rFonts w:cstheme="minorHAnsi"/>
                <w:b/>
                <w:bCs/>
              </w:rPr>
              <w:t>-</w:t>
            </w:r>
            <w:r w:rsidR="00601CE7">
              <w:rPr>
                <w:rFonts w:cstheme="minorHAnsi"/>
                <w:b/>
                <w:bCs/>
              </w:rPr>
              <w:t>21.72</w:t>
            </w:r>
            <w:r w:rsidR="00421407">
              <w:rPr>
                <w:rFonts w:cstheme="minorHAnsi"/>
                <w:b/>
                <w:bCs/>
              </w:rPr>
              <w:t xml:space="preserve"> (-2</w:t>
            </w:r>
            <w:r w:rsidR="00C94ECC">
              <w:rPr>
                <w:rFonts w:cstheme="minorHAnsi"/>
                <w:b/>
                <w:bCs/>
              </w:rPr>
              <w:t>6.</w:t>
            </w:r>
            <w:r w:rsidR="00B409F4">
              <w:rPr>
                <w:rFonts w:cstheme="minorHAnsi"/>
                <w:b/>
                <w:bCs/>
              </w:rPr>
              <w:t>1</w:t>
            </w:r>
            <w:r w:rsidR="009B581D">
              <w:rPr>
                <w:rFonts w:cstheme="minorHAnsi"/>
                <w:b/>
                <w:bCs/>
              </w:rPr>
              <w:t>1</w:t>
            </w:r>
            <w:r w:rsidR="00C94ECC">
              <w:rPr>
                <w:rFonts w:cstheme="minorHAnsi"/>
                <w:b/>
                <w:bCs/>
              </w:rPr>
              <w:t>, -15.</w:t>
            </w:r>
            <w:r w:rsidR="009B581D">
              <w:rPr>
                <w:rFonts w:cstheme="minorHAnsi"/>
                <w:b/>
                <w:bCs/>
              </w:rPr>
              <w:t>82</w:t>
            </w:r>
            <w:r w:rsidR="00C94ECC">
              <w:rPr>
                <w:rFonts w:cstheme="minorHAnsi"/>
                <w:b/>
                <w:bCs/>
              </w:rPr>
              <w:t>)</w:t>
            </w:r>
          </w:p>
        </w:tc>
        <w:tc>
          <w:tcPr>
            <w:tcW w:w="601" w:type="pct"/>
            <w:vAlign w:val="center"/>
          </w:tcPr>
          <w:p w14:paraId="45930B11" w14:textId="77777777" w:rsidR="005F284C" w:rsidRPr="002B4EEE" w:rsidRDefault="005F284C" w:rsidP="00781430">
            <w:pPr>
              <w:jc w:val="center"/>
              <w:rPr>
                <w:rFonts w:cstheme="minorHAnsi"/>
                <w:b/>
                <w:bCs/>
              </w:rPr>
            </w:pPr>
            <w:r w:rsidRPr="002B4EEE">
              <w:rPr>
                <w:rFonts w:cstheme="minorHAnsi"/>
                <w:b/>
                <w:bCs/>
              </w:rPr>
              <w:t>n/a</w:t>
            </w:r>
          </w:p>
        </w:tc>
        <w:tc>
          <w:tcPr>
            <w:tcW w:w="339" w:type="pct"/>
            <w:vAlign w:val="center"/>
          </w:tcPr>
          <w:p w14:paraId="351C605F" w14:textId="77777777" w:rsidR="005F284C" w:rsidRPr="002B4EEE" w:rsidRDefault="005F284C" w:rsidP="00781430">
            <w:pPr>
              <w:jc w:val="center"/>
              <w:rPr>
                <w:rFonts w:cstheme="minorHAnsi"/>
                <w:b/>
                <w:bCs/>
              </w:rPr>
            </w:pPr>
            <w:r w:rsidRPr="002B4EEE">
              <w:rPr>
                <w:rFonts w:cstheme="minorHAnsi"/>
                <w:b/>
                <w:bCs/>
              </w:rPr>
              <w:t>n/a</w:t>
            </w:r>
          </w:p>
        </w:tc>
      </w:tr>
      <w:tr w:rsidR="005F284C" w:rsidRPr="0086735D" w14:paraId="47E6823A" w14:textId="77777777" w:rsidTr="00781430">
        <w:trPr>
          <w:cnfStyle w:val="000000100000" w:firstRow="0" w:lastRow="0" w:firstColumn="0" w:lastColumn="0" w:oddVBand="0" w:evenVBand="0" w:oddHBand="1" w:evenHBand="0" w:firstRowFirstColumn="0" w:firstRowLastColumn="0" w:lastRowFirstColumn="0" w:lastRowLastColumn="0"/>
        </w:trPr>
        <w:tc>
          <w:tcPr>
            <w:tcW w:w="1128" w:type="pct"/>
          </w:tcPr>
          <w:p w14:paraId="3CA22BCB" w14:textId="77777777" w:rsidR="005F284C" w:rsidRPr="00845F73" w:rsidRDefault="005F284C" w:rsidP="00781430">
            <w:pPr>
              <w:rPr>
                <w:rFonts w:cstheme="minorHAnsi"/>
                <w:bCs/>
              </w:rPr>
            </w:pPr>
            <w:r w:rsidRPr="00845F73">
              <w:rPr>
                <w:rFonts w:cstheme="minorHAnsi"/>
                <w:bCs/>
              </w:rPr>
              <w:t>Durbin-Watson Statistic</w:t>
            </w:r>
          </w:p>
        </w:tc>
        <w:tc>
          <w:tcPr>
            <w:tcW w:w="995" w:type="pct"/>
          </w:tcPr>
          <w:p w14:paraId="3476E81C" w14:textId="4E65B4A5" w:rsidR="005F284C" w:rsidRPr="00845F73" w:rsidRDefault="00606FDB" w:rsidP="00781430">
            <w:pPr>
              <w:jc w:val="center"/>
              <w:rPr>
                <w:rFonts w:cstheme="minorHAnsi"/>
              </w:rPr>
            </w:pPr>
            <w:r>
              <w:rPr>
                <w:rFonts w:cstheme="minorHAnsi"/>
              </w:rPr>
              <w:t>2.28</w:t>
            </w:r>
          </w:p>
        </w:tc>
        <w:tc>
          <w:tcPr>
            <w:tcW w:w="601" w:type="pct"/>
          </w:tcPr>
          <w:p w14:paraId="50B33A16" w14:textId="77777777" w:rsidR="005F284C" w:rsidRPr="00845F73" w:rsidRDefault="005F284C" w:rsidP="00781430">
            <w:pPr>
              <w:jc w:val="center"/>
              <w:rPr>
                <w:rFonts w:cstheme="minorHAnsi"/>
              </w:rPr>
            </w:pPr>
            <w:r>
              <w:rPr>
                <w:rFonts w:cstheme="minorHAnsi"/>
              </w:rPr>
              <w:t>n/a</w:t>
            </w:r>
          </w:p>
        </w:tc>
        <w:tc>
          <w:tcPr>
            <w:tcW w:w="340" w:type="pct"/>
          </w:tcPr>
          <w:p w14:paraId="06C83583" w14:textId="77777777" w:rsidR="005F284C" w:rsidRPr="00845F73" w:rsidRDefault="005F284C" w:rsidP="00781430">
            <w:pPr>
              <w:jc w:val="center"/>
              <w:rPr>
                <w:rFonts w:cstheme="minorHAnsi"/>
              </w:rPr>
            </w:pPr>
            <w:r>
              <w:rPr>
                <w:rFonts w:cstheme="minorHAnsi"/>
              </w:rPr>
              <w:t>n/a</w:t>
            </w:r>
          </w:p>
        </w:tc>
        <w:tc>
          <w:tcPr>
            <w:tcW w:w="995" w:type="pct"/>
          </w:tcPr>
          <w:p w14:paraId="49B99C0F" w14:textId="02301E82" w:rsidR="005F284C" w:rsidRPr="00845F73" w:rsidRDefault="008D5559" w:rsidP="00781430">
            <w:pPr>
              <w:jc w:val="center"/>
              <w:rPr>
                <w:rFonts w:cstheme="minorHAnsi"/>
              </w:rPr>
            </w:pPr>
            <w:r>
              <w:rPr>
                <w:rFonts w:cstheme="minorHAnsi"/>
              </w:rPr>
              <w:t>2.21</w:t>
            </w:r>
          </w:p>
        </w:tc>
        <w:tc>
          <w:tcPr>
            <w:tcW w:w="601" w:type="pct"/>
          </w:tcPr>
          <w:p w14:paraId="70A4D180" w14:textId="77777777" w:rsidR="005F284C" w:rsidRPr="00845F73" w:rsidRDefault="005F284C" w:rsidP="00781430">
            <w:pPr>
              <w:jc w:val="center"/>
              <w:rPr>
                <w:rFonts w:cstheme="minorHAnsi"/>
              </w:rPr>
            </w:pPr>
            <w:r>
              <w:rPr>
                <w:rFonts w:cstheme="minorHAnsi"/>
              </w:rPr>
              <w:t>n/a</w:t>
            </w:r>
          </w:p>
        </w:tc>
        <w:tc>
          <w:tcPr>
            <w:tcW w:w="339" w:type="pct"/>
          </w:tcPr>
          <w:p w14:paraId="7E060479" w14:textId="77777777" w:rsidR="005F284C" w:rsidRPr="00845F73" w:rsidRDefault="005F284C" w:rsidP="00781430">
            <w:pPr>
              <w:jc w:val="center"/>
              <w:rPr>
                <w:rFonts w:cstheme="minorHAnsi"/>
              </w:rPr>
            </w:pPr>
            <w:r>
              <w:rPr>
                <w:rFonts w:cstheme="minorHAnsi"/>
              </w:rPr>
              <w:t>n/a</w:t>
            </w:r>
          </w:p>
        </w:tc>
      </w:tr>
    </w:tbl>
    <w:p w14:paraId="711ED70A" w14:textId="77777777" w:rsidR="005F284C" w:rsidRDefault="005F284C" w:rsidP="005F284C">
      <w:pPr>
        <w:spacing w:after="0"/>
        <w:rPr>
          <w:rFonts w:ascii="Arial" w:hAnsi="Arial" w:cs="Arial"/>
          <w:sz w:val="24"/>
          <w:szCs w:val="24"/>
        </w:rPr>
      </w:pPr>
      <w:r w:rsidRPr="00291577">
        <w:rPr>
          <w:rFonts w:ascii="Arial" w:hAnsi="Arial" w:cs="Arial"/>
          <w:sz w:val="24"/>
          <w:szCs w:val="24"/>
        </w:rPr>
        <w:t>β</w:t>
      </w:r>
      <w:r w:rsidRPr="00291577">
        <w:rPr>
          <w:rFonts w:ascii="Arial" w:hAnsi="Arial" w:cs="Arial"/>
          <w:sz w:val="24"/>
          <w:szCs w:val="24"/>
          <w:vertAlign w:val="subscript"/>
        </w:rPr>
        <w:t>0-3</w:t>
      </w:r>
      <w:r>
        <w:rPr>
          <w:rFonts w:ascii="Arial" w:hAnsi="Arial" w:cs="Arial"/>
          <w:sz w:val="24"/>
          <w:szCs w:val="24"/>
        </w:rPr>
        <w:t xml:space="preserve"> are coefficients from the single-group interrupted time series analysis model; the intercept represents the outcome at the start of the study period; the relative change is calculated compared to the predicted value at the same time point had the pre-intervention trend continued.    </w:t>
      </w:r>
      <w:r w:rsidRPr="0086735D">
        <w:rPr>
          <w:rFonts w:ascii="Arial" w:hAnsi="Arial" w:cs="Arial"/>
          <w:sz w:val="24"/>
          <w:szCs w:val="24"/>
        </w:rPr>
        <w:t xml:space="preserve"> </w:t>
      </w:r>
    </w:p>
    <w:p w14:paraId="472C9105" w14:textId="521E85B3" w:rsidR="005F284C" w:rsidRDefault="005F284C" w:rsidP="005F284C">
      <w:pPr>
        <w:spacing w:after="0"/>
        <w:rPr>
          <w:rFonts w:ascii="Arial" w:hAnsi="Arial" w:cs="Arial"/>
          <w:sz w:val="24"/>
          <w:szCs w:val="24"/>
        </w:rPr>
        <w:sectPr w:rsidR="005F284C" w:rsidSect="003A1967">
          <w:pgSz w:w="16838" w:h="11906" w:orient="landscape"/>
          <w:pgMar w:top="1440" w:right="1440" w:bottom="1440" w:left="1440" w:header="708" w:footer="708" w:gutter="0"/>
          <w:cols w:space="708"/>
          <w:docGrid w:linePitch="360"/>
        </w:sectPr>
      </w:pPr>
      <w:proofErr w:type="spellStart"/>
      <w:r w:rsidRPr="00460693">
        <w:rPr>
          <w:rFonts w:ascii="Arial" w:hAnsi="Arial" w:cs="Arial"/>
          <w:sz w:val="24"/>
          <w:szCs w:val="24"/>
          <w:vertAlign w:val="superscript"/>
        </w:rPr>
        <w:t>a</w:t>
      </w:r>
      <w:r>
        <w:rPr>
          <w:rFonts w:ascii="Arial" w:hAnsi="Arial" w:cs="Arial"/>
          <w:sz w:val="24"/>
          <w:szCs w:val="24"/>
        </w:rPr>
        <w:t>Calculated</w:t>
      </w:r>
      <w:proofErr w:type="spellEnd"/>
      <w:r>
        <w:rPr>
          <w:rFonts w:ascii="Arial" w:hAnsi="Arial" w:cs="Arial"/>
          <w:sz w:val="24"/>
          <w:szCs w:val="24"/>
        </w:rPr>
        <w:t xml:space="preserve"> at quarter 2 2020</w:t>
      </w:r>
      <w:r w:rsidR="00E17E65">
        <w:rPr>
          <w:rFonts w:ascii="Arial" w:hAnsi="Arial" w:cs="Arial"/>
          <w:sz w:val="24"/>
          <w:szCs w:val="24"/>
        </w:rPr>
        <w:t xml:space="preserve">. </w:t>
      </w:r>
      <w:r w:rsidRPr="0086735D">
        <w:rPr>
          <w:rFonts w:ascii="Arial" w:hAnsi="Arial" w:cs="Arial"/>
          <w:sz w:val="24"/>
          <w:szCs w:val="24"/>
        </w:rPr>
        <w:t xml:space="preserve">95% </w:t>
      </w:r>
      <w:r>
        <w:rPr>
          <w:rFonts w:ascii="Arial" w:hAnsi="Arial" w:cs="Arial"/>
          <w:sz w:val="24"/>
          <w:szCs w:val="24"/>
        </w:rPr>
        <w:t>c</w:t>
      </w:r>
      <w:r w:rsidRPr="0086735D">
        <w:rPr>
          <w:rFonts w:ascii="Arial" w:hAnsi="Arial" w:cs="Arial"/>
          <w:sz w:val="24"/>
          <w:szCs w:val="24"/>
        </w:rPr>
        <w:t xml:space="preserve">onfidence </w:t>
      </w:r>
      <w:r>
        <w:rPr>
          <w:rFonts w:ascii="Arial" w:hAnsi="Arial" w:cs="Arial"/>
          <w:sz w:val="24"/>
          <w:szCs w:val="24"/>
        </w:rPr>
        <w:t>i</w:t>
      </w:r>
      <w:r w:rsidRPr="0086735D">
        <w:rPr>
          <w:rFonts w:ascii="Arial" w:hAnsi="Arial" w:cs="Arial"/>
          <w:sz w:val="24"/>
          <w:szCs w:val="24"/>
        </w:rPr>
        <w:t xml:space="preserve">nterval calculated using model bootstrapping </w:t>
      </w:r>
    </w:p>
    <w:p w14:paraId="275412F0" w14:textId="18EB732A" w:rsidR="003D0DFC" w:rsidRDefault="003D0DFC" w:rsidP="003D0DFC">
      <w:pPr>
        <w:pStyle w:val="Heading1"/>
        <w:jc w:val="left"/>
        <w:rPr>
          <w:szCs w:val="24"/>
        </w:rPr>
      </w:pPr>
      <w:bookmarkStart w:id="20" w:name="_Toc114677339"/>
      <w:r w:rsidRPr="003A1967">
        <w:rPr>
          <w:b/>
          <w:bCs/>
        </w:rPr>
        <w:lastRenderedPageBreak/>
        <w:t>Supplementary Table S</w:t>
      </w:r>
      <w:r w:rsidR="004B3DAB">
        <w:rPr>
          <w:b/>
          <w:bCs/>
        </w:rPr>
        <w:t>14</w:t>
      </w:r>
      <w:r w:rsidRPr="003A1967">
        <w:rPr>
          <w:b/>
          <w:bCs/>
        </w:rPr>
        <w:t>.</w:t>
      </w:r>
      <w:r>
        <w:t xml:space="preserve"> </w:t>
      </w:r>
      <w:r w:rsidRPr="0086735D">
        <w:rPr>
          <w:szCs w:val="24"/>
        </w:rPr>
        <w:t xml:space="preserve">Results of the </w:t>
      </w:r>
      <w:r>
        <w:rPr>
          <w:szCs w:val="24"/>
        </w:rPr>
        <w:t>controlled</w:t>
      </w:r>
      <w:r w:rsidRPr="0086735D">
        <w:rPr>
          <w:szCs w:val="24"/>
        </w:rPr>
        <w:t xml:space="preserve"> interrupted time series analysis of </w:t>
      </w:r>
      <w:r>
        <w:rPr>
          <w:szCs w:val="24"/>
        </w:rPr>
        <w:t>females compared to male</w:t>
      </w:r>
      <w:r w:rsidRPr="0086735D">
        <w:rPr>
          <w:szCs w:val="24"/>
        </w:rPr>
        <w:t xml:space="preserve"> </w:t>
      </w:r>
      <w:r>
        <w:rPr>
          <w:szCs w:val="24"/>
        </w:rPr>
        <w:t>opioid p</w:t>
      </w:r>
      <w:r w:rsidRPr="0086735D">
        <w:rPr>
          <w:szCs w:val="24"/>
        </w:rPr>
        <w:t xml:space="preserve">rescribing </w:t>
      </w:r>
      <w:r>
        <w:rPr>
          <w:szCs w:val="24"/>
        </w:rPr>
        <w:t>rates</w:t>
      </w:r>
      <w:r w:rsidRPr="0086735D">
        <w:rPr>
          <w:szCs w:val="24"/>
        </w:rPr>
        <w:t xml:space="preserve"> </w:t>
      </w:r>
      <w:r>
        <w:rPr>
          <w:szCs w:val="24"/>
        </w:rPr>
        <w:t>in</w:t>
      </w:r>
      <w:r w:rsidRPr="0086735D">
        <w:rPr>
          <w:szCs w:val="24"/>
        </w:rPr>
        <w:t xml:space="preserve"> Scotland</w:t>
      </w:r>
      <w:r w:rsidR="00F948D8">
        <w:rPr>
          <w:szCs w:val="24"/>
        </w:rPr>
        <w:t xml:space="preserve"> </w:t>
      </w:r>
      <w:r w:rsidR="00F948D8">
        <w:t>(without buprenorphine, buprenorphine and naloxone and methadone hydrochloride)</w:t>
      </w:r>
      <w:bookmarkEnd w:id="20"/>
    </w:p>
    <w:tbl>
      <w:tblPr>
        <w:tblStyle w:val="PlainTable2"/>
        <w:tblW w:w="52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4152"/>
        <w:gridCol w:w="2589"/>
        <w:gridCol w:w="1666"/>
        <w:gridCol w:w="986"/>
      </w:tblGrid>
      <w:tr w:rsidR="003D0DFC" w:rsidRPr="0086735D" w14:paraId="672FFC3F" w14:textId="77777777" w:rsidTr="00760A30">
        <w:trPr>
          <w:cnfStyle w:val="000000100000" w:firstRow="0" w:lastRow="0" w:firstColumn="0" w:lastColumn="0" w:oddVBand="0" w:evenVBand="0" w:oddHBand="1" w:evenHBand="0" w:firstRowFirstColumn="0" w:firstRowLastColumn="0" w:lastRowFirstColumn="0" w:lastRowLastColumn="0"/>
        </w:trPr>
        <w:tc>
          <w:tcPr>
            <w:tcW w:w="2210" w:type="pct"/>
            <w:shd w:val="clear" w:color="auto" w:fill="D9E2F3" w:themeFill="accent1" w:themeFillTint="33"/>
            <w:vAlign w:val="center"/>
          </w:tcPr>
          <w:p w14:paraId="5F6747FE" w14:textId="77777777" w:rsidR="003D0DFC" w:rsidRPr="00845F73" w:rsidRDefault="003D0DFC" w:rsidP="00760A30">
            <w:pPr>
              <w:jc w:val="center"/>
              <w:rPr>
                <w:rFonts w:cstheme="minorHAnsi"/>
                <w:b/>
              </w:rPr>
            </w:pPr>
          </w:p>
        </w:tc>
        <w:tc>
          <w:tcPr>
            <w:tcW w:w="1378" w:type="pct"/>
            <w:shd w:val="clear" w:color="auto" w:fill="D9E2F3" w:themeFill="accent1" w:themeFillTint="33"/>
            <w:vAlign w:val="center"/>
          </w:tcPr>
          <w:p w14:paraId="1841CE11" w14:textId="77777777" w:rsidR="003D0DFC" w:rsidRPr="00845F73" w:rsidRDefault="003D0DFC" w:rsidP="00760A30">
            <w:pPr>
              <w:jc w:val="center"/>
              <w:rPr>
                <w:rFonts w:cstheme="minorHAnsi"/>
                <w:b/>
              </w:rPr>
            </w:pPr>
            <w:r w:rsidRPr="00845F73">
              <w:rPr>
                <w:rFonts w:cstheme="minorHAnsi"/>
                <w:b/>
              </w:rPr>
              <w:t>Estimate</w:t>
            </w:r>
          </w:p>
          <w:p w14:paraId="2F8B2025" w14:textId="77777777" w:rsidR="003D0DFC" w:rsidRPr="00845F73" w:rsidRDefault="003D0DFC" w:rsidP="00760A30">
            <w:pPr>
              <w:jc w:val="center"/>
              <w:rPr>
                <w:rFonts w:cstheme="minorHAnsi"/>
                <w:b/>
              </w:rPr>
            </w:pPr>
            <w:r w:rsidRPr="00845F73">
              <w:rPr>
                <w:rFonts w:cstheme="minorHAnsi"/>
                <w:b/>
              </w:rPr>
              <w:t>(95% Confidence Interval)</w:t>
            </w:r>
          </w:p>
        </w:tc>
        <w:tc>
          <w:tcPr>
            <w:tcW w:w="887" w:type="pct"/>
            <w:shd w:val="clear" w:color="auto" w:fill="D9E2F3" w:themeFill="accent1" w:themeFillTint="33"/>
            <w:vAlign w:val="center"/>
          </w:tcPr>
          <w:p w14:paraId="075CE73D" w14:textId="77777777" w:rsidR="003D0DFC" w:rsidRPr="00845F73" w:rsidRDefault="003D0DFC" w:rsidP="00760A30">
            <w:pPr>
              <w:jc w:val="center"/>
              <w:rPr>
                <w:rFonts w:cstheme="minorHAnsi"/>
                <w:b/>
              </w:rPr>
            </w:pPr>
            <w:r w:rsidRPr="00845F73">
              <w:rPr>
                <w:rFonts w:cstheme="minorHAnsi"/>
                <w:b/>
              </w:rPr>
              <w:t>Standard Error</w:t>
            </w:r>
          </w:p>
        </w:tc>
        <w:tc>
          <w:tcPr>
            <w:tcW w:w="525" w:type="pct"/>
            <w:shd w:val="clear" w:color="auto" w:fill="D9E2F3" w:themeFill="accent1" w:themeFillTint="33"/>
            <w:vAlign w:val="center"/>
          </w:tcPr>
          <w:p w14:paraId="121FC0B1" w14:textId="77777777" w:rsidR="003D0DFC" w:rsidRPr="00845F73" w:rsidRDefault="003D0DFC" w:rsidP="00760A30">
            <w:pPr>
              <w:jc w:val="center"/>
              <w:rPr>
                <w:rFonts w:cstheme="minorHAnsi"/>
                <w:b/>
              </w:rPr>
            </w:pPr>
            <w:r w:rsidRPr="00845F73">
              <w:rPr>
                <w:rFonts w:cstheme="minorHAnsi"/>
                <w:b/>
              </w:rPr>
              <w:t>P value</w:t>
            </w:r>
          </w:p>
        </w:tc>
      </w:tr>
      <w:tr w:rsidR="003D0DFC" w:rsidRPr="0086735D" w14:paraId="41A4F626" w14:textId="77777777" w:rsidTr="00760A30">
        <w:tc>
          <w:tcPr>
            <w:tcW w:w="2210" w:type="pct"/>
          </w:tcPr>
          <w:p w14:paraId="36ECF4B3" w14:textId="77777777" w:rsidR="003D0DFC" w:rsidRPr="00845F73" w:rsidRDefault="003D0DFC" w:rsidP="00760A30">
            <w:pPr>
              <w:rPr>
                <w:rFonts w:cstheme="minorHAnsi"/>
              </w:rPr>
            </w:pPr>
            <w:r w:rsidRPr="00BF17B2">
              <w:t>Difference in Intercept, β</w:t>
            </w:r>
            <w:r w:rsidRPr="00845BAA">
              <w:rPr>
                <w:vertAlign w:val="subscript"/>
              </w:rPr>
              <w:t>4</w:t>
            </w:r>
          </w:p>
        </w:tc>
        <w:tc>
          <w:tcPr>
            <w:tcW w:w="1378" w:type="pct"/>
            <w:vAlign w:val="center"/>
          </w:tcPr>
          <w:p w14:paraId="3B743B83" w14:textId="129EF32F" w:rsidR="003D0DFC" w:rsidRPr="00845F73" w:rsidRDefault="007E54D8" w:rsidP="00760A30">
            <w:pPr>
              <w:jc w:val="center"/>
              <w:rPr>
                <w:rFonts w:cstheme="minorHAnsi"/>
              </w:rPr>
            </w:pPr>
            <w:r>
              <w:rPr>
                <w:rFonts w:cstheme="minorHAnsi"/>
              </w:rPr>
              <w:t>105</w:t>
            </w:r>
            <w:r w:rsidR="003D0DFC">
              <w:rPr>
                <w:rFonts w:cstheme="minorHAnsi"/>
              </w:rPr>
              <w:t>.</w:t>
            </w:r>
            <w:r w:rsidR="00D41857">
              <w:rPr>
                <w:rFonts w:cstheme="minorHAnsi"/>
              </w:rPr>
              <w:t>08</w:t>
            </w:r>
            <w:r w:rsidR="003D0DFC">
              <w:rPr>
                <w:rFonts w:cstheme="minorHAnsi"/>
              </w:rPr>
              <w:t xml:space="preserve"> (</w:t>
            </w:r>
            <w:r w:rsidR="00D11227">
              <w:rPr>
                <w:rFonts w:cstheme="minorHAnsi"/>
              </w:rPr>
              <w:t>96</w:t>
            </w:r>
            <w:r w:rsidR="003D0DFC">
              <w:rPr>
                <w:rFonts w:cstheme="minorHAnsi"/>
              </w:rPr>
              <w:t>.5</w:t>
            </w:r>
            <w:r w:rsidR="00D11227">
              <w:rPr>
                <w:rFonts w:cstheme="minorHAnsi"/>
              </w:rPr>
              <w:t>4</w:t>
            </w:r>
            <w:r w:rsidR="003D0DFC">
              <w:rPr>
                <w:rFonts w:cstheme="minorHAnsi"/>
              </w:rPr>
              <w:t>, 1</w:t>
            </w:r>
            <w:r w:rsidR="00D11227">
              <w:rPr>
                <w:rFonts w:cstheme="minorHAnsi"/>
              </w:rPr>
              <w:t>13</w:t>
            </w:r>
            <w:r w:rsidR="003D0DFC">
              <w:rPr>
                <w:rFonts w:cstheme="minorHAnsi"/>
              </w:rPr>
              <w:t>.</w:t>
            </w:r>
            <w:r w:rsidR="00D11227">
              <w:rPr>
                <w:rFonts w:cstheme="minorHAnsi"/>
              </w:rPr>
              <w:t>61</w:t>
            </w:r>
            <w:r w:rsidR="003D0DFC">
              <w:rPr>
                <w:rFonts w:cstheme="minorHAnsi"/>
              </w:rPr>
              <w:t>)</w:t>
            </w:r>
          </w:p>
        </w:tc>
        <w:tc>
          <w:tcPr>
            <w:tcW w:w="887" w:type="pct"/>
            <w:vAlign w:val="center"/>
          </w:tcPr>
          <w:p w14:paraId="751BEB2D" w14:textId="5847A3B6" w:rsidR="003D0DFC" w:rsidRPr="00845F73" w:rsidRDefault="003D0DFC" w:rsidP="00760A30">
            <w:pPr>
              <w:jc w:val="center"/>
              <w:rPr>
                <w:rFonts w:cstheme="minorHAnsi"/>
              </w:rPr>
            </w:pPr>
            <w:r>
              <w:rPr>
                <w:rFonts w:cstheme="minorHAnsi"/>
              </w:rPr>
              <w:t>4.</w:t>
            </w:r>
            <w:r w:rsidR="004443C0">
              <w:rPr>
                <w:rFonts w:cstheme="minorHAnsi"/>
              </w:rPr>
              <w:t>28</w:t>
            </w:r>
          </w:p>
        </w:tc>
        <w:tc>
          <w:tcPr>
            <w:tcW w:w="525" w:type="pct"/>
            <w:vAlign w:val="center"/>
          </w:tcPr>
          <w:p w14:paraId="4B1A0E57" w14:textId="77777777" w:rsidR="003D0DFC" w:rsidRPr="00845F73" w:rsidRDefault="003D0DFC" w:rsidP="00760A30">
            <w:pPr>
              <w:jc w:val="center"/>
              <w:rPr>
                <w:rFonts w:cstheme="minorHAnsi"/>
              </w:rPr>
            </w:pPr>
            <w:r>
              <w:rPr>
                <w:rFonts w:cstheme="minorHAnsi"/>
              </w:rPr>
              <w:t>&lt;0.01</w:t>
            </w:r>
          </w:p>
        </w:tc>
      </w:tr>
      <w:tr w:rsidR="003D0DFC" w:rsidRPr="0086735D" w14:paraId="4475858D" w14:textId="77777777" w:rsidTr="00760A30">
        <w:trPr>
          <w:cnfStyle w:val="000000100000" w:firstRow="0" w:lastRow="0" w:firstColumn="0" w:lastColumn="0" w:oddVBand="0" w:evenVBand="0" w:oddHBand="1" w:evenHBand="0" w:firstRowFirstColumn="0" w:firstRowLastColumn="0" w:lastRowFirstColumn="0" w:lastRowLastColumn="0"/>
        </w:trPr>
        <w:tc>
          <w:tcPr>
            <w:tcW w:w="2210" w:type="pct"/>
          </w:tcPr>
          <w:p w14:paraId="7083E1C6" w14:textId="77777777" w:rsidR="003D0DFC" w:rsidRPr="00845F73" w:rsidRDefault="003D0DFC" w:rsidP="00760A30">
            <w:pPr>
              <w:rPr>
                <w:rFonts w:cstheme="minorHAnsi"/>
              </w:rPr>
            </w:pPr>
            <w:r w:rsidRPr="00BF17B2">
              <w:t>Difference in Pre-Intervention Trend, β</w:t>
            </w:r>
            <w:r w:rsidRPr="00845BAA">
              <w:rPr>
                <w:vertAlign w:val="subscript"/>
              </w:rPr>
              <w:t>5</w:t>
            </w:r>
          </w:p>
        </w:tc>
        <w:tc>
          <w:tcPr>
            <w:tcW w:w="1378" w:type="pct"/>
            <w:vAlign w:val="center"/>
          </w:tcPr>
          <w:p w14:paraId="0E795E32" w14:textId="71F606A2" w:rsidR="003D0DFC" w:rsidRPr="00845F73" w:rsidRDefault="003D0DFC" w:rsidP="00760A30">
            <w:pPr>
              <w:jc w:val="center"/>
              <w:rPr>
                <w:rFonts w:cstheme="minorHAnsi"/>
              </w:rPr>
            </w:pPr>
            <w:r>
              <w:rPr>
                <w:rFonts w:cstheme="minorHAnsi"/>
              </w:rPr>
              <w:t>0.</w:t>
            </w:r>
            <w:r w:rsidR="004443C0">
              <w:rPr>
                <w:rFonts w:cstheme="minorHAnsi"/>
              </w:rPr>
              <w:t>72</w:t>
            </w:r>
            <w:r>
              <w:rPr>
                <w:rFonts w:cstheme="minorHAnsi"/>
              </w:rPr>
              <w:t xml:space="preserve"> (-0.</w:t>
            </w:r>
            <w:r w:rsidR="00613C91">
              <w:rPr>
                <w:rFonts w:cstheme="minorHAnsi"/>
              </w:rPr>
              <w:t>16</w:t>
            </w:r>
            <w:r>
              <w:rPr>
                <w:rFonts w:cstheme="minorHAnsi"/>
              </w:rPr>
              <w:t>, 1.</w:t>
            </w:r>
            <w:r w:rsidR="00613C91">
              <w:rPr>
                <w:rFonts w:cstheme="minorHAnsi"/>
              </w:rPr>
              <w:t>61</w:t>
            </w:r>
            <w:r>
              <w:rPr>
                <w:rFonts w:cstheme="minorHAnsi"/>
              </w:rPr>
              <w:t>)</w:t>
            </w:r>
          </w:p>
        </w:tc>
        <w:tc>
          <w:tcPr>
            <w:tcW w:w="887" w:type="pct"/>
            <w:vAlign w:val="center"/>
          </w:tcPr>
          <w:p w14:paraId="611F61FA" w14:textId="5299D20D" w:rsidR="003D0DFC" w:rsidRPr="00845F73" w:rsidRDefault="003D0DFC" w:rsidP="00760A30">
            <w:pPr>
              <w:jc w:val="center"/>
              <w:rPr>
                <w:rFonts w:cstheme="minorHAnsi"/>
              </w:rPr>
            </w:pPr>
            <w:r>
              <w:rPr>
                <w:rFonts w:cstheme="minorHAnsi"/>
              </w:rPr>
              <w:t>0.4</w:t>
            </w:r>
            <w:r w:rsidR="00613C91">
              <w:rPr>
                <w:rFonts w:cstheme="minorHAnsi"/>
              </w:rPr>
              <w:t>4</w:t>
            </w:r>
          </w:p>
        </w:tc>
        <w:tc>
          <w:tcPr>
            <w:tcW w:w="525" w:type="pct"/>
            <w:vAlign w:val="center"/>
          </w:tcPr>
          <w:p w14:paraId="0BFEAE68" w14:textId="4347C5E3" w:rsidR="003D0DFC" w:rsidRPr="00845F73" w:rsidRDefault="003D0DFC" w:rsidP="00760A30">
            <w:pPr>
              <w:jc w:val="center"/>
              <w:rPr>
                <w:rFonts w:cstheme="minorHAnsi"/>
              </w:rPr>
            </w:pPr>
            <w:r>
              <w:rPr>
                <w:rFonts w:cstheme="minorHAnsi"/>
              </w:rPr>
              <w:t>0.1</w:t>
            </w:r>
            <w:r w:rsidR="00ED6BC4">
              <w:rPr>
                <w:rFonts w:cstheme="minorHAnsi"/>
              </w:rPr>
              <w:t>1</w:t>
            </w:r>
          </w:p>
        </w:tc>
      </w:tr>
      <w:tr w:rsidR="003D0DFC" w:rsidRPr="0086735D" w14:paraId="78479B23" w14:textId="77777777" w:rsidTr="00760A30">
        <w:tc>
          <w:tcPr>
            <w:tcW w:w="2210" w:type="pct"/>
          </w:tcPr>
          <w:p w14:paraId="6B914DC8" w14:textId="77777777" w:rsidR="003D0DFC" w:rsidRPr="00845F73" w:rsidRDefault="003D0DFC" w:rsidP="00760A30">
            <w:pPr>
              <w:rPr>
                <w:rFonts w:cstheme="minorHAnsi"/>
              </w:rPr>
            </w:pPr>
            <w:r w:rsidRPr="00BF17B2">
              <w:t>Difference in Change in Level, β</w:t>
            </w:r>
            <w:r w:rsidRPr="00845BAA">
              <w:rPr>
                <w:vertAlign w:val="subscript"/>
              </w:rPr>
              <w:t>6</w:t>
            </w:r>
          </w:p>
        </w:tc>
        <w:tc>
          <w:tcPr>
            <w:tcW w:w="1378" w:type="pct"/>
            <w:vAlign w:val="center"/>
          </w:tcPr>
          <w:p w14:paraId="4061F083" w14:textId="2B3A88F4" w:rsidR="003D0DFC" w:rsidRPr="00845F73" w:rsidRDefault="003D0DFC" w:rsidP="00760A30">
            <w:pPr>
              <w:jc w:val="center"/>
              <w:rPr>
                <w:rFonts w:cstheme="minorHAnsi"/>
              </w:rPr>
            </w:pPr>
            <w:r>
              <w:rPr>
                <w:rFonts w:cstheme="minorHAnsi"/>
              </w:rPr>
              <w:t>2.4</w:t>
            </w:r>
            <w:r w:rsidR="002D02FD">
              <w:rPr>
                <w:rFonts w:cstheme="minorHAnsi"/>
              </w:rPr>
              <w:t>0</w:t>
            </w:r>
            <w:r>
              <w:rPr>
                <w:rFonts w:cstheme="minorHAnsi"/>
              </w:rPr>
              <w:t xml:space="preserve"> (-</w:t>
            </w:r>
            <w:r w:rsidR="002D02FD">
              <w:rPr>
                <w:rFonts w:cstheme="minorHAnsi"/>
              </w:rPr>
              <w:t>7</w:t>
            </w:r>
            <w:r>
              <w:rPr>
                <w:rFonts w:cstheme="minorHAnsi"/>
              </w:rPr>
              <w:t>.</w:t>
            </w:r>
            <w:r w:rsidR="002D02FD">
              <w:rPr>
                <w:rFonts w:cstheme="minorHAnsi"/>
              </w:rPr>
              <w:t>77</w:t>
            </w:r>
            <w:r>
              <w:rPr>
                <w:rFonts w:cstheme="minorHAnsi"/>
              </w:rPr>
              <w:t>, 1</w:t>
            </w:r>
            <w:r w:rsidR="002D02FD">
              <w:rPr>
                <w:rFonts w:cstheme="minorHAnsi"/>
              </w:rPr>
              <w:t>2</w:t>
            </w:r>
            <w:r>
              <w:rPr>
                <w:rFonts w:cstheme="minorHAnsi"/>
              </w:rPr>
              <w:t>.</w:t>
            </w:r>
            <w:r w:rsidR="002D02FD">
              <w:rPr>
                <w:rFonts w:cstheme="minorHAnsi"/>
              </w:rPr>
              <w:t>58)</w:t>
            </w:r>
          </w:p>
        </w:tc>
        <w:tc>
          <w:tcPr>
            <w:tcW w:w="887" w:type="pct"/>
            <w:vAlign w:val="center"/>
          </w:tcPr>
          <w:p w14:paraId="08549900" w14:textId="79F4EA32" w:rsidR="003D0DFC" w:rsidRPr="00845F73" w:rsidRDefault="003D0DFC" w:rsidP="00760A30">
            <w:pPr>
              <w:jc w:val="center"/>
              <w:rPr>
                <w:rFonts w:cstheme="minorHAnsi"/>
              </w:rPr>
            </w:pPr>
            <w:r>
              <w:rPr>
                <w:rFonts w:cstheme="minorHAnsi"/>
              </w:rPr>
              <w:t>5.</w:t>
            </w:r>
            <w:r w:rsidR="00B805BC">
              <w:rPr>
                <w:rFonts w:cstheme="minorHAnsi"/>
              </w:rPr>
              <w:t>11</w:t>
            </w:r>
          </w:p>
        </w:tc>
        <w:tc>
          <w:tcPr>
            <w:tcW w:w="525" w:type="pct"/>
            <w:vAlign w:val="center"/>
          </w:tcPr>
          <w:p w14:paraId="307E4C73" w14:textId="23E40CC2" w:rsidR="003D0DFC" w:rsidRPr="00845F73" w:rsidRDefault="003D0DFC" w:rsidP="00760A30">
            <w:pPr>
              <w:jc w:val="center"/>
              <w:rPr>
                <w:rFonts w:cstheme="minorHAnsi"/>
              </w:rPr>
            </w:pPr>
            <w:r>
              <w:rPr>
                <w:rFonts w:cstheme="minorHAnsi"/>
              </w:rPr>
              <w:t>0.6</w:t>
            </w:r>
            <w:r w:rsidR="00B805BC">
              <w:rPr>
                <w:rFonts w:cstheme="minorHAnsi"/>
              </w:rPr>
              <w:t>4</w:t>
            </w:r>
          </w:p>
        </w:tc>
      </w:tr>
      <w:tr w:rsidR="003D0DFC" w:rsidRPr="0086735D" w14:paraId="52980EA4" w14:textId="77777777" w:rsidTr="00760A30">
        <w:trPr>
          <w:cnfStyle w:val="000000100000" w:firstRow="0" w:lastRow="0" w:firstColumn="0" w:lastColumn="0" w:oddVBand="0" w:evenVBand="0" w:oddHBand="1" w:evenHBand="0" w:firstRowFirstColumn="0" w:firstRowLastColumn="0" w:lastRowFirstColumn="0" w:lastRowLastColumn="0"/>
        </w:trPr>
        <w:tc>
          <w:tcPr>
            <w:tcW w:w="2210" w:type="pct"/>
          </w:tcPr>
          <w:p w14:paraId="6E1772DE" w14:textId="77777777" w:rsidR="003D0DFC" w:rsidRPr="00845F73" w:rsidRDefault="003D0DFC" w:rsidP="00760A30">
            <w:pPr>
              <w:rPr>
                <w:rFonts w:cstheme="minorHAnsi"/>
              </w:rPr>
            </w:pPr>
            <w:r w:rsidRPr="00BF17B2">
              <w:t>Difference in Change in Trend, β</w:t>
            </w:r>
            <w:r w:rsidRPr="00845BAA">
              <w:rPr>
                <w:vertAlign w:val="subscript"/>
              </w:rPr>
              <w:t>7</w:t>
            </w:r>
          </w:p>
        </w:tc>
        <w:tc>
          <w:tcPr>
            <w:tcW w:w="1378" w:type="pct"/>
            <w:vAlign w:val="center"/>
          </w:tcPr>
          <w:p w14:paraId="149E90E2" w14:textId="50EC5D6B" w:rsidR="003D0DFC" w:rsidRPr="00845F73" w:rsidRDefault="003D0DFC" w:rsidP="00760A30">
            <w:pPr>
              <w:jc w:val="center"/>
              <w:rPr>
                <w:rFonts w:cstheme="minorHAnsi"/>
              </w:rPr>
            </w:pPr>
            <w:r>
              <w:rPr>
                <w:rFonts w:cstheme="minorHAnsi"/>
              </w:rPr>
              <w:t>-0.</w:t>
            </w:r>
            <w:r w:rsidR="008367AB">
              <w:rPr>
                <w:rFonts w:cstheme="minorHAnsi"/>
              </w:rPr>
              <w:t>8</w:t>
            </w:r>
            <w:r w:rsidR="00251FAC">
              <w:rPr>
                <w:rFonts w:cstheme="minorHAnsi"/>
              </w:rPr>
              <w:t>1</w:t>
            </w:r>
            <w:r>
              <w:rPr>
                <w:rFonts w:cstheme="minorHAnsi"/>
              </w:rPr>
              <w:t xml:space="preserve"> (-1.7</w:t>
            </w:r>
            <w:r w:rsidR="00C94B2E">
              <w:rPr>
                <w:rFonts w:cstheme="minorHAnsi"/>
              </w:rPr>
              <w:t>9</w:t>
            </w:r>
            <w:r>
              <w:rPr>
                <w:rFonts w:cstheme="minorHAnsi"/>
              </w:rPr>
              <w:t>, 0.1</w:t>
            </w:r>
            <w:r w:rsidR="00F07D14">
              <w:rPr>
                <w:rFonts w:cstheme="minorHAnsi"/>
              </w:rPr>
              <w:t>7</w:t>
            </w:r>
            <w:r>
              <w:rPr>
                <w:rFonts w:cstheme="minorHAnsi"/>
              </w:rPr>
              <w:t>)</w:t>
            </w:r>
          </w:p>
        </w:tc>
        <w:tc>
          <w:tcPr>
            <w:tcW w:w="887" w:type="pct"/>
            <w:vAlign w:val="center"/>
          </w:tcPr>
          <w:p w14:paraId="2228E6AD" w14:textId="73A12355" w:rsidR="003D0DFC" w:rsidRPr="00845F73" w:rsidRDefault="003D0DFC" w:rsidP="00760A30">
            <w:pPr>
              <w:jc w:val="center"/>
              <w:rPr>
                <w:rFonts w:cstheme="minorHAnsi"/>
              </w:rPr>
            </w:pPr>
            <w:r>
              <w:rPr>
                <w:rFonts w:cstheme="minorHAnsi"/>
              </w:rPr>
              <w:t>0.</w:t>
            </w:r>
            <w:r w:rsidR="00F07D14">
              <w:rPr>
                <w:rFonts w:cstheme="minorHAnsi"/>
              </w:rPr>
              <w:t>49</w:t>
            </w:r>
          </w:p>
        </w:tc>
        <w:tc>
          <w:tcPr>
            <w:tcW w:w="525" w:type="pct"/>
            <w:vAlign w:val="center"/>
          </w:tcPr>
          <w:p w14:paraId="162633A5" w14:textId="20E7916B" w:rsidR="003D0DFC" w:rsidRPr="00845F73" w:rsidRDefault="003D0DFC" w:rsidP="00760A30">
            <w:pPr>
              <w:jc w:val="center"/>
              <w:rPr>
                <w:rFonts w:cstheme="minorHAnsi"/>
              </w:rPr>
            </w:pPr>
            <w:r>
              <w:rPr>
                <w:rFonts w:cstheme="minorHAnsi"/>
              </w:rPr>
              <w:t>0.1</w:t>
            </w:r>
            <w:r w:rsidR="00F07D14">
              <w:rPr>
                <w:rFonts w:cstheme="minorHAnsi"/>
              </w:rPr>
              <w:t>1</w:t>
            </w:r>
          </w:p>
        </w:tc>
      </w:tr>
      <w:tr w:rsidR="003D0DFC" w:rsidRPr="0086735D" w14:paraId="33114952" w14:textId="77777777" w:rsidTr="00760A30">
        <w:tc>
          <w:tcPr>
            <w:tcW w:w="2210" w:type="pct"/>
          </w:tcPr>
          <w:p w14:paraId="2E769148" w14:textId="77777777" w:rsidR="003D0DFC" w:rsidRPr="00845F73" w:rsidRDefault="003D0DFC" w:rsidP="00760A30">
            <w:pPr>
              <w:rPr>
                <w:rFonts w:cstheme="minorHAnsi"/>
                <w:bCs/>
              </w:rPr>
            </w:pPr>
            <w:r w:rsidRPr="00BF17B2">
              <w:t>Difference in Post-Intervention Trend, β</w:t>
            </w:r>
            <w:r w:rsidRPr="00845BAA">
              <w:rPr>
                <w:vertAlign w:val="subscript"/>
              </w:rPr>
              <w:t>5+7</w:t>
            </w:r>
          </w:p>
        </w:tc>
        <w:tc>
          <w:tcPr>
            <w:tcW w:w="1378" w:type="pct"/>
          </w:tcPr>
          <w:p w14:paraId="15B0399F" w14:textId="42EDDA4E" w:rsidR="003D0DFC" w:rsidRPr="00845F73" w:rsidRDefault="003D0DFC" w:rsidP="00760A30">
            <w:pPr>
              <w:jc w:val="center"/>
              <w:rPr>
                <w:rFonts w:cstheme="minorHAnsi"/>
              </w:rPr>
            </w:pPr>
            <w:r>
              <w:rPr>
                <w:rFonts w:cstheme="minorHAnsi"/>
              </w:rPr>
              <w:t>-0.</w:t>
            </w:r>
            <w:r w:rsidR="00734073">
              <w:rPr>
                <w:rFonts w:cstheme="minorHAnsi"/>
              </w:rPr>
              <w:t>08</w:t>
            </w:r>
            <w:r>
              <w:rPr>
                <w:rFonts w:cstheme="minorHAnsi"/>
              </w:rPr>
              <w:t xml:space="preserve"> (-0.5</w:t>
            </w:r>
            <w:r w:rsidR="000C36BD">
              <w:rPr>
                <w:rFonts w:cstheme="minorHAnsi"/>
              </w:rPr>
              <w:t>3</w:t>
            </w:r>
            <w:r>
              <w:rPr>
                <w:rFonts w:cstheme="minorHAnsi"/>
              </w:rPr>
              <w:t>, 0.3</w:t>
            </w:r>
            <w:r w:rsidR="00583357">
              <w:rPr>
                <w:rFonts w:cstheme="minorHAnsi"/>
              </w:rPr>
              <w:t>7</w:t>
            </w:r>
            <w:r>
              <w:rPr>
                <w:rFonts w:cstheme="minorHAnsi"/>
              </w:rPr>
              <w:t>)</w:t>
            </w:r>
          </w:p>
        </w:tc>
        <w:tc>
          <w:tcPr>
            <w:tcW w:w="887" w:type="pct"/>
          </w:tcPr>
          <w:p w14:paraId="249F40A9" w14:textId="656DCD88" w:rsidR="003D0DFC" w:rsidRPr="00845F73" w:rsidRDefault="003D0DFC" w:rsidP="00760A30">
            <w:pPr>
              <w:jc w:val="center"/>
              <w:rPr>
                <w:rFonts w:cstheme="minorHAnsi"/>
              </w:rPr>
            </w:pPr>
            <w:r>
              <w:rPr>
                <w:rFonts w:cstheme="minorHAnsi"/>
              </w:rPr>
              <w:t>0.2</w:t>
            </w:r>
            <w:r w:rsidR="00583357">
              <w:rPr>
                <w:rFonts w:cstheme="minorHAnsi"/>
              </w:rPr>
              <w:t>2</w:t>
            </w:r>
          </w:p>
        </w:tc>
        <w:tc>
          <w:tcPr>
            <w:tcW w:w="525" w:type="pct"/>
          </w:tcPr>
          <w:p w14:paraId="0C805A35" w14:textId="093A7C31" w:rsidR="003D0DFC" w:rsidRPr="00845F73" w:rsidRDefault="003D0DFC" w:rsidP="00760A30">
            <w:pPr>
              <w:jc w:val="center"/>
              <w:rPr>
                <w:rFonts w:cstheme="minorHAnsi"/>
              </w:rPr>
            </w:pPr>
            <w:r>
              <w:rPr>
                <w:rFonts w:cstheme="minorHAnsi"/>
              </w:rPr>
              <w:t>0.</w:t>
            </w:r>
            <w:r w:rsidR="00583357">
              <w:rPr>
                <w:rFonts w:cstheme="minorHAnsi"/>
              </w:rPr>
              <w:t>71</w:t>
            </w:r>
          </w:p>
        </w:tc>
      </w:tr>
      <w:tr w:rsidR="003D0DFC" w:rsidRPr="0086735D" w14:paraId="2EB6ABBF" w14:textId="77777777" w:rsidTr="00760A30">
        <w:trPr>
          <w:cnfStyle w:val="000000100000" w:firstRow="0" w:lastRow="0" w:firstColumn="0" w:lastColumn="0" w:oddVBand="0" w:evenVBand="0" w:oddHBand="1" w:evenHBand="0" w:firstRowFirstColumn="0" w:firstRowLastColumn="0" w:lastRowFirstColumn="0" w:lastRowLastColumn="0"/>
        </w:trPr>
        <w:tc>
          <w:tcPr>
            <w:tcW w:w="2210" w:type="pct"/>
          </w:tcPr>
          <w:p w14:paraId="39368CC1" w14:textId="77777777" w:rsidR="003D0DFC" w:rsidRPr="00845F73" w:rsidRDefault="003D0DFC" w:rsidP="00760A30">
            <w:pPr>
              <w:rPr>
                <w:rFonts w:cstheme="minorHAnsi"/>
                <w:bCs/>
              </w:rPr>
            </w:pPr>
            <w:r w:rsidRPr="00BF17B2">
              <w:t>Durbin-Watson Statistic</w:t>
            </w:r>
          </w:p>
        </w:tc>
        <w:tc>
          <w:tcPr>
            <w:tcW w:w="1378" w:type="pct"/>
          </w:tcPr>
          <w:p w14:paraId="7CC2AA44" w14:textId="17856B7B" w:rsidR="003D0DFC" w:rsidRPr="00845F73" w:rsidRDefault="003D0DFC" w:rsidP="00760A30">
            <w:pPr>
              <w:jc w:val="center"/>
              <w:rPr>
                <w:rFonts w:cstheme="minorHAnsi"/>
              </w:rPr>
            </w:pPr>
            <w:r>
              <w:rPr>
                <w:rFonts w:cstheme="minorHAnsi"/>
              </w:rPr>
              <w:t>2.2</w:t>
            </w:r>
            <w:r w:rsidR="00255755">
              <w:rPr>
                <w:rFonts w:cstheme="minorHAnsi"/>
              </w:rPr>
              <w:t>8</w:t>
            </w:r>
          </w:p>
        </w:tc>
        <w:tc>
          <w:tcPr>
            <w:tcW w:w="887" w:type="pct"/>
          </w:tcPr>
          <w:p w14:paraId="530AF0F5" w14:textId="77777777" w:rsidR="003D0DFC" w:rsidRPr="00845F73" w:rsidRDefault="003D0DFC" w:rsidP="00760A30">
            <w:pPr>
              <w:jc w:val="center"/>
              <w:rPr>
                <w:rFonts w:cstheme="minorHAnsi"/>
              </w:rPr>
            </w:pPr>
            <w:r>
              <w:rPr>
                <w:rFonts w:cstheme="minorHAnsi"/>
              </w:rPr>
              <w:t>n/a</w:t>
            </w:r>
          </w:p>
        </w:tc>
        <w:tc>
          <w:tcPr>
            <w:tcW w:w="525" w:type="pct"/>
          </w:tcPr>
          <w:p w14:paraId="65CAC363" w14:textId="77777777" w:rsidR="003D0DFC" w:rsidRPr="00845F73" w:rsidRDefault="003D0DFC" w:rsidP="00583357">
            <w:pPr>
              <w:jc w:val="center"/>
              <w:rPr>
                <w:rFonts w:cstheme="minorHAnsi"/>
              </w:rPr>
            </w:pPr>
            <w:r>
              <w:rPr>
                <w:rFonts w:cstheme="minorHAnsi"/>
              </w:rPr>
              <w:t>n/a</w:t>
            </w:r>
          </w:p>
        </w:tc>
      </w:tr>
    </w:tbl>
    <w:p w14:paraId="1F4A770F" w14:textId="77777777" w:rsidR="00691600" w:rsidRDefault="003D0DFC" w:rsidP="0045084C">
      <w:pPr>
        <w:rPr>
          <w:rFonts w:ascii="Arial" w:hAnsi="Arial" w:cs="Arial"/>
          <w:sz w:val="24"/>
          <w:szCs w:val="24"/>
        </w:rPr>
        <w:sectPr w:rsidR="00691600" w:rsidSect="003D0DFC">
          <w:pgSz w:w="11906" w:h="16838"/>
          <w:pgMar w:top="1440" w:right="1440" w:bottom="1440" w:left="1440" w:header="708" w:footer="708" w:gutter="0"/>
          <w:cols w:space="708"/>
          <w:docGrid w:linePitch="360"/>
        </w:sectPr>
      </w:pPr>
      <w:r w:rsidRPr="00291577">
        <w:rPr>
          <w:rFonts w:ascii="Arial" w:hAnsi="Arial" w:cs="Arial"/>
          <w:sz w:val="24"/>
          <w:szCs w:val="24"/>
        </w:rPr>
        <w:t>β</w:t>
      </w:r>
      <w:r>
        <w:rPr>
          <w:rFonts w:ascii="Arial" w:hAnsi="Arial" w:cs="Arial"/>
          <w:sz w:val="24"/>
          <w:szCs w:val="24"/>
          <w:vertAlign w:val="subscript"/>
        </w:rPr>
        <w:t>4-7</w:t>
      </w:r>
      <w:r>
        <w:rPr>
          <w:rFonts w:ascii="Arial" w:hAnsi="Arial" w:cs="Arial"/>
          <w:sz w:val="24"/>
          <w:szCs w:val="24"/>
        </w:rPr>
        <w:t xml:space="preserve"> are coefficients from the controlled interrupted time series analysis model; the intercept represents the outcome at the start of the study period.</w:t>
      </w:r>
    </w:p>
    <w:p w14:paraId="06C645D5" w14:textId="783F0429" w:rsidR="00691600" w:rsidRDefault="00691600" w:rsidP="00691600">
      <w:pPr>
        <w:pStyle w:val="Heading1"/>
        <w:jc w:val="left"/>
        <w:rPr>
          <w:szCs w:val="24"/>
        </w:rPr>
      </w:pPr>
      <w:bookmarkStart w:id="21" w:name="_Toc114677340"/>
      <w:r w:rsidRPr="003A1967">
        <w:rPr>
          <w:b/>
          <w:bCs/>
        </w:rPr>
        <w:lastRenderedPageBreak/>
        <w:t>Supplementary Table S</w:t>
      </w:r>
      <w:r>
        <w:rPr>
          <w:b/>
          <w:bCs/>
        </w:rPr>
        <w:t>1</w:t>
      </w:r>
      <w:r w:rsidR="004B3DAB">
        <w:rPr>
          <w:b/>
          <w:bCs/>
        </w:rPr>
        <w:t>5</w:t>
      </w:r>
      <w:r w:rsidRPr="003A1967">
        <w:rPr>
          <w:b/>
          <w:bCs/>
        </w:rPr>
        <w:t>.</w:t>
      </w:r>
      <w:r>
        <w:t xml:space="preserve"> </w:t>
      </w:r>
      <w:r w:rsidRPr="0086735D">
        <w:rPr>
          <w:szCs w:val="24"/>
        </w:rPr>
        <w:t xml:space="preserve">Results of the </w:t>
      </w:r>
      <w:r>
        <w:rPr>
          <w:szCs w:val="24"/>
        </w:rPr>
        <w:t>single</w:t>
      </w:r>
      <w:r w:rsidRPr="0086735D">
        <w:rPr>
          <w:szCs w:val="24"/>
        </w:rPr>
        <w:t xml:space="preserve"> interrupted time series analys</w:t>
      </w:r>
      <w:r>
        <w:rPr>
          <w:szCs w:val="24"/>
        </w:rPr>
        <w:t>e</w:t>
      </w:r>
      <w:r w:rsidRPr="0086735D">
        <w:rPr>
          <w:szCs w:val="24"/>
        </w:rPr>
        <w:t xml:space="preserve">s of </w:t>
      </w:r>
      <w:r>
        <w:rPr>
          <w:szCs w:val="24"/>
        </w:rPr>
        <w:t>opioid p</w:t>
      </w:r>
      <w:r w:rsidRPr="0086735D">
        <w:rPr>
          <w:szCs w:val="24"/>
        </w:rPr>
        <w:t xml:space="preserve">rescribing </w:t>
      </w:r>
      <w:r>
        <w:rPr>
          <w:szCs w:val="24"/>
        </w:rPr>
        <w:t>rates by age category</w:t>
      </w:r>
      <w:r w:rsidRPr="0086735D">
        <w:rPr>
          <w:szCs w:val="24"/>
        </w:rPr>
        <w:t xml:space="preserve"> </w:t>
      </w:r>
      <w:r>
        <w:rPr>
          <w:szCs w:val="24"/>
        </w:rPr>
        <w:t>in</w:t>
      </w:r>
      <w:r w:rsidRPr="0086735D">
        <w:rPr>
          <w:szCs w:val="24"/>
        </w:rPr>
        <w:t xml:space="preserve"> Scotland</w:t>
      </w:r>
      <w:r w:rsidR="00F948D8">
        <w:rPr>
          <w:szCs w:val="24"/>
        </w:rPr>
        <w:t xml:space="preserve"> </w:t>
      </w:r>
      <w:r w:rsidR="00F948D8">
        <w:t>(without buprenorphine, buprenorphine and naloxone and methadone hydrochloride)</w:t>
      </w:r>
      <w:bookmarkEnd w:id="21"/>
    </w:p>
    <w:tbl>
      <w:tblPr>
        <w:tblStyle w:val="PlainTable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314"/>
        <w:gridCol w:w="2865"/>
        <w:gridCol w:w="1780"/>
        <w:gridCol w:w="1057"/>
      </w:tblGrid>
      <w:tr w:rsidR="00691600" w:rsidRPr="0086735D" w14:paraId="717A85A9" w14:textId="77777777" w:rsidTr="00760A30">
        <w:trPr>
          <w:cnfStyle w:val="000000100000" w:firstRow="0" w:lastRow="0" w:firstColumn="0" w:lastColumn="0" w:oddVBand="0" w:evenVBand="0" w:oddHBand="1" w:evenHBand="0" w:firstRowFirstColumn="0" w:firstRowLastColumn="0" w:lastRowFirstColumn="0" w:lastRowLastColumn="0"/>
        </w:trPr>
        <w:tc>
          <w:tcPr>
            <w:tcW w:w="1838" w:type="pct"/>
            <w:shd w:val="clear" w:color="auto" w:fill="D9E2F3" w:themeFill="accent1" w:themeFillTint="33"/>
            <w:vAlign w:val="center"/>
          </w:tcPr>
          <w:p w14:paraId="7F71A583" w14:textId="77777777" w:rsidR="00691600" w:rsidRPr="00845F73" w:rsidRDefault="00691600" w:rsidP="00760A30">
            <w:pPr>
              <w:jc w:val="center"/>
              <w:rPr>
                <w:rFonts w:cstheme="minorHAnsi"/>
                <w:b/>
              </w:rPr>
            </w:pPr>
          </w:p>
        </w:tc>
        <w:tc>
          <w:tcPr>
            <w:tcW w:w="1589" w:type="pct"/>
            <w:shd w:val="clear" w:color="auto" w:fill="D9E2F3" w:themeFill="accent1" w:themeFillTint="33"/>
            <w:vAlign w:val="center"/>
          </w:tcPr>
          <w:p w14:paraId="45E78814" w14:textId="77777777" w:rsidR="00691600" w:rsidRPr="00845F73" w:rsidRDefault="00691600" w:rsidP="00760A30">
            <w:pPr>
              <w:jc w:val="center"/>
              <w:rPr>
                <w:rFonts w:cstheme="minorHAnsi"/>
                <w:b/>
              </w:rPr>
            </w:pPr>
            <w:r w:rsidRPr="00845F73">
              <w:rPr>
                <w:rFonts w:cstheme="minorHAnsi"/>
                <w:b/>
              </w:rPr>
              <w:t>Estimate</w:t>
            </w:r>
          </w:p>
          <w:p w14:paraId="5E5C39E9" w14:textId="77777777" w:rsidR="00691600" w:rsidRPr="00845F73" w:rsidRDefault="00691600" w:rsidP="00760A30">
            <w:pPr>
              <w:jc w:val="center"/>
              <w:rPr>
                <w:rFonts w:cstheme="minorHAnsi"/>
                <w:b/>
              </w:rPr>
            </w:pPr>
            <w:r w:rsidRPr="00845F73">
              <w:rPr>
                <w:rFonts w:cstheme="minorHAnsi"/>
                <w:b/>
              </w:rPr>
              <w:t>(95% Confidence Interval)</w:t>
            </w:r>
          </w:p>
        </w:tc>
        <w:tc>
          <w:tcPr>
            <w:tcW w:w="987" w:type="pct"/>
            <w:shd w:val="clear" w:color="auto" w:fill="D9E2F3" w:themeFill="accent1" w:themeFillTint="33"/>
            <w:vAlign w:val="center"/>
          </w:tcPr>
          <w:p w14:paraId="132686E6" w14:textId="77777777" w:rsidR="00691600" w:rsidRPr="00845F73" w:rsidRDefault="00691600" w:rsidP="00760A30">
            <w:pPr>
              <w:jc w:val="center"/>
              <w:rPr>
                <w:rFonts w:cstheme="minorHAnsi"/>
                <w:b/>
              </w:rPr>
            </w:pPr>
            <w:r w:rsidRPr="00845F73">
              <w:rPr>
                <w:rFonts w:cstheme="minorHAnsi"/>
                <w:b/>
              </w:rPr>
              <w:t>Standard Error</w:t>
            </w:r>
          </w:p>
        </w:tc>
        <w:tc>
          <w:tcPr>
            <w:tcW w:w="586" w:type="pct"/>
            <w:shd w:val="clear" w:color="auto" w:fill="D9E2F3" w:themeFill="accent1" w:themeFillTint="33"/>
            <w:vAlign w:val="center"/>
          </w:tcPr>
          <w:p w14:paraId="4811E492" w14:textId="77777777" w:rsidR="00691600" w:rsidRPr="00845F73" w:rsidRDefault="00691600" w:rsidP="00760A30">
            <w:pPr>
              <w:jc w:val="center"/>
              <w:rPr>
                <w:rFonts w:cstheme="minorHAnsi"/>
                <w:b/>
              </w:rPr>
            </w:pPr>
            <w:r w:rsidRPr="00845F73">
              <w:rPr>
                <w:rFonts w:cstheme="minorHAnsi"/>
                <w:b/>
              </w:rPr>
              <w:t>P value</w:t>
            </w:r>
          </w:p>
        </w:tc>
      </w:tr>
      <w:tr w:rsidR="00691600" w:rsidRPr="0086735D" w14:paraId="6D94F80E" w14:textId="77777777" w:rsidTr="00760A30">
        <w:tc>
          <w:tcPr>
            <w:tcW w:w="5000" w:type="pct"/>
            <w:gridSpan w:val="4"/>
            <w:vAlign w:val="center"/>
          </w:tcPr>
          <w:p w14:paraId="04668F52" w14:textId="77777777" w:rsidR="00691600" w:rsidRPr="00845F73" w:rsidRDefault="00691600" w:rsidP="00760A30">
            <w:pPr>
              <w:rPr>
                <w:rFonts w:cstheme="minorHAnsi"/>
              </w:rPr>
            </w:pPr>
            <w:r w:rsidRPr="00E122D3">
              <w:rPr>
                <w:rFonts w:cstheme="minorHAnsi"/>
                <w:b/>
                <w:bCs/>
              </w:rPr>
              <w:t>0-29 years</w:t>
            </w:r>
          </w:p>
        </w:tc>
      </w:tr>
      <w:tr w:rsidR="00691600" w:rsidRPr="0086735D" w14:paraId="330C22A2" w14:textId="77777777" w:rsidTr="00760A30">
        <w:trPr>
          <w:cnfStyle w:val="000000100000" w:firstRow="0" w:lastRow="0" w:firstColumn="0" w:lastColumn="0" w:oddVBand="0" w:evenVBand="0" w:oddHBand="1" w:evenHBand="0" w:firstRowFirstColumn="0" w:firstRowLastColumn="0" w:lastRowFirstColumn="0" w:lastRowLastColumn="0"/>
        </w:trPr>
        <w:tc>
          <w:tcPr>
            <w:tcW w:w="1838" w:type="pct"/>
          </w:tcPr>
          <w:p w14:paraId="06FD24EE" w14:textId="77777777" w:rsidR="00691600" w:rsidRPr="00845F73" w:rsidRDefault="00691600" w:rsidP="00760A30">
            <w:pPr>
              <w:rPr>
                <w:rFonts w:cstheme="minorHAnsi"/>
              </w:rPr>
            </w:pPr>
            <w:r w:rsidRPr="00845F73">
              <w:rPr>
                <w:rFonts w:cstheme="minorHAnsi"/>
              </w:rPr>
              <w:t>Intercept, β</w:t>
            </w:r>
            <w:r w:rsidRPr="00845F73">
              <w:rPr>
                <w:rFonts w:cstheme="minorHAnsi"/>
                <w:vertAlign w:val="subscript"/>
              </w:rPr>
              <w:t>0</w:t>
            </w:r>
          </w:p>
        </w:tc>
        <w:tc>
          <w:tcPr>
            <w:tcW w:w="1589" w:type="pct"/>
            <w:vAlign w:val="center"/>
          </w:tcPr>
          <w:p w14:paraId="387E6B0B" w14:textId="0451A14A" w:rsidR="00691600" w:rsidRPr="00845F73" w:rsidRDefault="00337ED6" w:rsidP="00760A30">
            <w:pPr>
              <w:jc w:val="center"/>
              <w:rPr>
                <w:rFonts w:cstheme="minorHAnsi"/>
              </w:rPr>
            </w:pPr>
            <w:r>
              <w:rPr>
                <w:rFonts w:cstheme="minorHAnsi"/>
              </w:rPr>
              <w:t>26.56</w:t>
            </w:r>
            <w:r w:rsidR="00043D1A">
              <w:rPr>
                <w:rFonts w:cstheme="minorHAnsi"/>
              </w:rPr>
              <w:t xml:space="preserve"> (24.73, 28.39)</w:t>
            </w:r>
          </w:p>
        </w:tc>
        <w:tc>
          <w:tcPr>
            <w:tcW w:w="987" w:type="pct"/>
            <w:vAlign w:val="center"/>
          </w:tcPr>
          <w:p w14:paraId="64DD61C1" w14:textId="7D55109F" w:rsidR="00691600" w:rsidRPr="00845F73" w:rsidRDefault="00337ED6" w:rsidP="00760A30">
            <w:pPr>
              <w:jc w:val="center"/>
              <w:rPr>
                <w:rFonts w:cstheme="minorHAnsi"/>
              </w:rPr>
            </w:pPr>
            <w:r>
              <w:rPr>
                <w:rFonts w:cstheme="minorHAnsi"/>
              </w:rPr>
              <w:t>0.90</w:t>
            </w:r>
          </w:p>
        </w:tc>
        <w:tc>
          <w:tcPr>
            <w:tcW w:w="586" w:type="pct"/>
            <w:vAlign w:val="center"/>
          </w:tcPr>
          <w:p w14:paraId="1BFC245F" w14:textId="30E755C7" w:rsidR="00691600" w:rsidRPr="00845F73" w:rsidRDefault="00337ED6" w:rsidP="00760A30">
            <w:pPr>
              <w:jc w:val="center"/>
              <w:rPr>
                <w:rFonts w:cstheme="minorHAnsi"/>
              </w:rPr>
            </w:pPr>
            <w:r>
              <w:rPr>
                <w:rFonts w:cstheme="minorHAnsi"/>
              </w:rPr>
              <w:t>&lt;0.01</w:t>
            </w:r>
          </w:p>
        </w:tc>
      </w:tr>
      <w:tr w:rsidR="00691600" w:rsidRPr="0086735D" w14:paraId="6D4D2ABE" w14:textId="77777777" w:rsidTr="00760A30">
        <w:tc>
          <w:tcPr>
            <w:tcW w:w="1838" w:type="pct"/>
          </w:tcPr>
          <w:p w14:paraId="73997DAF" w14:textId="77777777" w:rsidR="00691600" w:rsidRPr="00845F73" w:rsidRDefault="00691600" w:rsidP="00760A30">
            <w:pPr>
              <w:rPr>
                <w:rFonts w:cstheme="minorHAnsi"/>
              </w:rPr>
            </w:pPr>
            <w:r w:rsidRPr="00845F73">
              <w:rPr>
                <w:rFonts w:cstheme="minorHAnsi"/>
              </w:rPr>
              <w:t>Pre-Intervention Trend, β</w:t>
            </w:r>
            <w:r w:rsidRPr="00845F73">
              <w:rPr>
                <w:rFonts w:cstheme="minorHAnsi"/>
                <w:vertAlign w:val="subscript"/>
              </w:rPr>
              <w:t>1</w:t>
            </w:r>
          </w:p>
        </w:tc>
        <w:tc>
          <w:tcPr>
            <w:tcW w:w="1589" w:type="pct"/>
            <w:vAlign w:val="center"/>
          </w:tcPr>
          <w:p w14:paraId="6277A4CC" w14:textId="6696604F" w:rsidR="00691600" w:rsidRPr="00845F73" w:rsidRDefault="000318FF" w:rsidP="00760A30">
            <w:pPr>
              <w:jc w:val="center"/>
              <w:rPr>
                <w:rFonts w:cstheme="minorHAnsi"/>
              </w:rPr>
            </w:pPr>
            <w:r>
              <w:rPr>
                <w:rFonts w:cstheme="minorHAnsi"/>
              </w:rPr>
              <w:t>0.55</w:t>
            </w:r>
            <w:r w:rsidR="00043D1A">
              <w:rPr>
                <w:rFonts w:cstheme="minorHAnsi"/>
              </w:rPr>
              <w:t xml:space="preserve"> (0.36, 0.74)</w:t>
            </w:r>
          </w:p>
        </w:tc>
        <w:tc>
          <w:tcPr>
            <w:tcW w:w="987" w:type="pct"/>
            <w:vAlign w:val="center"/>
          </w:tcPr>
          <w:p w14:paraId="22FA1AA0" w14:textId="67A00D80" w:rsidR="00691600" w:rsidRPr="00845F73" w:rsidRDefault="000318FF" w:rsidP="00760A30">
            <w:pPr>
              <w:jc w:val="center"/>
              <w:rPr>
                <w:rFonts w:cstheme="minorHAnsi"/>
              </w:rPr>
            </w:pPr>
            <w:r>
              <w:rPr>
                <w:rFonts w:cstheme="minorHAnsi"/>
              </w:rPr>
              <w:t>0.09</w:t>
            </w:r>
          </w:p>
        </w:tc>
        <w:tc>
          <w:tcPr>
            <w:tcW w:w="586" w:type="pct"/>
            <w:vAlign w:val="center"/>
          </w:tcPr>
          <w:p w14:paraId="6FDC30E8" w14:textId="7AF88023" w:rsidR="00691600" w:rsidRPr="00845F73" w:rsidRDefault="000318FF" w:rsidP="00760A30">
            <w:pPr>
              <w:jc w:val="center"/>
              <w:rPr>
                <w:rFonts w:cstheme="minorHAnsi"/>
              </w:rPr>
            </w:pPr>
            <w:r>
              <w:rPr>
                <w:rFonts w:cstheme="minorHAnsi"/>
              </w:rPr>
              <w:t>&lt;0.01</w:t>
            </w:r>
          </w:p>
        </w:tc>
      </w:tr>
      <w:tr w:rsidR="00691600" w:rsidRPr="0086735D" w14:paraId="2EA7C98A" w14:textId="77777777" w:rsidTr="00760A30">
        <w:trPr>
          <w:cnfStyle w:val="000000100000" w:firstRow="0" w:lastRow="0" w:firstColumn="0" w:lastColumn="0" w:oddVBand="0" w:evenVBand="0" w:oddHBand="1" w:evenHBand="0" w:firstRowFirstColumn="0" w:firstRowLastColumn="0" w:lastRowFirstColumn="0" w:lastRowLastColumn="0"/>
        </w:trPr>
        <w:tc>
          <w:tcPr>
            <w:tcW w:w="1838" w:type="pct"/>
            <w:vAlign w:val="center"/>
          </w:tcPr>
          <w:p w14:paraId="446D9B9B" w14:textId="77777777" w:rsidR="00691600" w:rsidRPr="00845F73" w:rsidRDefault="00691600" w:rsidP="00760A30">
            <w:pPr>
              <w:rPr>
                <w:rFonts w:cstheme="minorHAnsi"/>
              </w:rPr>
            </w:pPr>
            <w:r w:rsidRPr="00845F73">
              <w:rPr>
                <w:rFonts w:cstheme="minorHAnsi"/>
              </w:rPr>
              <w:t>Change in Level, β</w:t>
            </w:r>
            <w:r w:rsidRPr="00845F73">
              <w:rPr>
                <w:rFonts w:cstheme="minorHAnsi"/>
                <w:vertAlign w:val="subscript"/>
              </w:rPr>
              <w:t>2</w:t>
            </w:r>
          </w:p>
        </w:tc>
        <w:tc>
          <w:tcPr>
            <w:tcW w:w="1589" w:type="pct"/>
            <w:vAlign w:val="center"/>
          </w:tcPr>
          <w:p w14:paraId="3BF76865" w14:textId="01E3112A" w:rsidR="00691600" w:rsidRPr="00845F73" w:rsidRDefault="000318FF" w:rsidP="00760A30">
            <w:pPr>
              <w:jc w:val="center"/>
              <w:rPr>
                <w:rFonts w:cstheme="minorHAnsi"/>
              </w:rPr>
            </w:pPr>
            <w:r>
              <w:rPr>
                <w:rFonts w:cstheme="minorHAnsi"/>
              </w:rPr>
              <w:t>1.86</w:t>
            </w:r>
            <w:r w:rsidR="00043D1A">
              <w:rPr>
                <w:rFonts w:cstheme="minorHAnsi"/>
              </w:rPr>
              <w:t xml:space="preserve"> (-0.32, </w:t>
            </w:r>
            <w:r w:rsidR="00FA3783">
              <w:rPr>
                <w:rFonts w:cstheme="minorHAnsi"/>
              </w:rPr>
              <w:t>4.04)</w:t>
            </w:r>
          </w:p>
        </w:tc>
        <w:tc>
          <w:tcPr>
            <w:tcW w:w="987" w:type="pct"/>
            <w:vAlign w:val="center"/>
          </w:tcPr>
          <w:p w14:paraId="1D6CB16D" w14:textId="575630B7" w:rsidR="00691600" w:rsidRPr="00845F73" w:rsidRDefault="000318FF" w:rsidP="00760A30">
            <w:pPr>
              <w:jc w:val="center"/>
              <w:rPr>
                <w:rFonts w:cstheme="minorHAnsi"/>
              </w:rPr>
            </w:pPr>
            <w:r>
              <w:rPr>
                <w:rFonts w:cstheme="minorHAnsi"/>
              </w:rPr>
              <w:t>1.08</w:t>
            </w:r>
          </w:p>
        </w:tc>
        <w:tc>
          <w:tcPr>
            <w:tcW w:w="586" w:type="pct"/>
            <w:vAlign w:val="center"/>
          </w:tcPr>
          <w:p w14:paraId="6DDF680E" w14:textId="5A643542" w:rsidR="00691600" w:rsidRPr="00845F73" w:rsidRDefault="00884CE5" w:rsidP="00760A30">
            <w:pPr>
              <w:jc w:val="center"/>
              <w:rPr>
                <w:rFonts w:cstheme="minorHAnsi"/>
              </w:rPr>
            </w:pPr>
            <w:r>
              <w:rPr>
                <w:rFonts w:cstheme="minorHAnsi"/>
              </w:rPr>
              <w:t>0.09</w:t>
            </w:r>
          </w:p>
        </w:tc>
      </w:tr>
      <w:tr w:rsidR="00691600" w:rsidRPr="0086735D" w14:paraId="05B387B2" w14:textId="77777777" w:rsidTr="00760A30">
        <w:tc>
          <w:tcPr>
            <w:tcW w:w="1838" w:type="pct"/>
          </w:tcPr>
          <w:p w14:paraId="75EB6EB3" w14:textId="77777777" w:rsidR="00691600" w:rsidRPr="00845F73" w:rsidRDefault="00691600" w:rsidP="00760A30">
            <w:pPr>
              <w:rPr>
                <w:rFonts w:cstheme="minorHAnsi"/>
              </w:rPr>
            </w:pPr>
            <w:r w:rsidRPr="00845F73">
              <w:rPr>
                <w:rFonts w:cstheme="minorHAnsi"/>
              </w:rPr>
              <w:t>Change in Trend, β</w:t>
            </w:r>
            <w:r w:rsidRPr="00845F73">
              <w:rPr>
                <w:rFonts w:cstheme="minorHAnsi"/>
                <w:vertAlign w:val="subscript"/>
              </w:rPr>
              <w:t>3</w:t>
            </w:r>
          </w:p>
        </w:tc>
        <w:tc>
          <w:tcPr>
            <w:tcW w:w="1589" w:type="pct"/>
            <w:vAlign w:val="center"/>
          </w:tcPr>
          <w:p w14:paraId="6402B260" w14:textId="0F5647E8" w:rsidR="00691600" w:rsidRPr="00845F73" w:rsidRDefault="00884CE5" w:rsidP="00760A30">
            <w:pPr>
              <w:jc w:val="center"/>
              <w:rPr>
                <w:rFonts w:cstheme="minorHAnsi"/>
              </w:rPr>
            </w:pPr>
            <w:r>
              <w:rPr>
                <w:rFonts w:cstheme="minorHAnsi"/>
              </w:rPr>
              <w:t>-0.89</w:t>
            </w:r>
            <w:r w:rsidR="00FA3783">
              <w:rPr>
                <w:rFonts w:cstheme="minorHAnsi"/>
              </w:rPr>
              <w:t xml:space="preserve"> (-1.10, -0.68)</w:t>
            </w:r>
          </w:p>
        </w:tc>
        <w:tc>
          <w:tcPr>
            <w:tcW w:w="987" w:type="pct"/>
            <w:vAlign w:val="center"/>
          </w:tcPr>
          <w:p w14:paraId="5681F5B3" w14:textId="23A0D8DF" w:rsidR="00691600" w:rsidRPr="00845F73" w:rsidRDefault="00884CE5" w:rsidP="00760A30">
            <w:pPr>
              <w:jc w:val="center"/>
              <w:rPr>
                <w:rFonts w:cstheme="minorHAnsi"/>
              </w:rPr>
            </w:pPr>
            <w:r>
              <w:rPr>
                <w:rFonts w:cstheme="minorHAnsi"/>
              </w:rPr>
              <w:t>0.10</w:t>
            </w:r>
          </w:p>
        </w:tc>
        <w:tc>
          <w:tcPr>
            <w:tcW w:w="586" w:type="pct"/>
            <w:vAlign w:val="center"/>
          </w:tcPr>
          <w:p w14:paraId="52BBB249" w14:textId="53B419A9" w:rsidR="00691600" w:rsidRPr="00845F73" w:rsidRDefault="00884CE5" w:rsidP="00760A30">
            <w:pPr>
              <w:jc w:val="center"/>
              <w:rPr>
                <w:rFonts w:cstheme="minorHAnsi"/>
              </w:rPr>
            </w:pPr>
            <w:r>
              <w:rPr>
                <w:rFonts w:cstheme="minorHAnsi"/>
              </w:rPr>
              <w:t>&lt;0.01</w:t>
            </w:r>
          </w:p>
        </w:tc>
      </w:tr>
      <w:tr w:rsidR="00691600" w:rsidRPr="0086735D" w14:paraId="5789AC09" w14:textId="77777777" w:rsidTr="00760A30">
        <w:trPr>
          <w:cnfStyle w:val="000000100000" w:firstRow="0" w:lastRow="0" w:firstColumn="0" w:lastColumn="0" w:oddVBand="0" w:evenVBand="0" w:oddHBand="1" w:evenHBand="0" w:firstRowFirstColumn="0" w:firstRowLastColumn="0" w:lastRowFirstColumn="0" w:lastRowLastColumn="0"/>
        </w:trPr>
        <w:tc>
          <w:tcPr>
            <w:tcW w:w="1838" w:type="pct"/>
          </w:tcPr>
          <w:p w14:paraId="53695DBA" w14:textId="77777777" w:rsidR="00691600" w:rsidRPr="00845F73" w:rsidRDefault="00691600" w:rsidP="00760A30">
            <w:pPr>
              <w:rPr>
                <w:rFonts w:cstheme="minorHAnsi"/>
                <w:bCs/>
              </w:rPr>
            </w:pPr>
            <w:r w:rsidRPr="00845F73">
              <w:rPr>
                <w:rFonts w:cstheme="minorHAnsi"/>
                <w:bCs/>
              </w:rPr>
              <w:t xml:space="preserve">Post-Intervention Trend, </w:t>
            </w:r>
            <w:r w:rsidRPr="00845F73">
              <w:rPr>
                <w:rFonts w:cstheme="minorHAnsi"/>
              </w:rPr>
              <w:t>β</w:t>
            </w:r>
            <w:r w:rsidRPr="00845F73">
              <w:rPr>
                <w:rFonts w:cstheme="minorHAnsi"/>
                <w:vertAlign w:val="subscript"/>
              </w:rPr>
              <w:t>1+3</w:t>
            </w:r>
          </w:p>
        </w:tc>
        <w:tc>
          <w:tcPr>
            <w:tcW w:w="1589" w:type="pct"/>
          </w:tcPr>
          <w:p w14:paraId="0C3D8CE7" w14:textId="157AE038" w:rsidR="00691600" w:rsidRPr="00845F73" w:rsidRDefault="001E2B8D" w:rsidP="00760A30">
            <w:pPr>
              <w:jc w:val="center"/>
              <w:rPr>
                <w:rFonts w:cstheme="minorHAnsi"/>
              </w:rPr>
            </w:pPr>
            <w:r>
              <w:rPr>
                <w:rFonts w:cstheme="minorHAnsi"/>
              </w:rPr>
              <w:t>-0.34 (-0.44, -0.23)</w:t>
            </w:r>
          </w:p>
        </w:tc>
        <w:tc>
          <w:tcPr>
            <w:tcW w:w="987" w:type="pct"/>
          </w:tcPr>
          <w:p w14:paraId="305335B6" w14:textId="5DECA2C6" w:rsidR="00691600" w:rsidRPr="00845F73" w:rsidRDefault="001E2B8D" w:rsidP="00760A30">
            <w:pPr>
              <w:jc w:val="center"/>
              <w:rPr>
                <w:rFonts w:cstheme="minorHAnsi"/>
              </w:rPr>
            </w:pPr>
            <w:r>
              <w:rPr>
                <w:rFonts w:cstheme="minorHAnsi"/>
              </w:rPr>
              <w:t>0.05</w:t>
            </w:r>
          </w:p>
        </w:tc>
        <w:tc>
          <w:tcPr>
            <w:tcW w:w="586" w:type="pct"/>
          </w:tcPr>
          <w:p w14:paraId="03405F03" w14:textId="309A3A54" w:rsidR="00691600" w:rsidRPr="00845F73" w:rsidRDefault="00782C69" w:rsidP="00760A30">
            <w:pPr>
              <w:jc w:val="center"/>
              <w:rPr>
                <w:rFonts w:cstheme="minorHAnsi"/>
              </w:rPr>
            </w:pPr>
            <w:r>
              <w:rPr>
                <w:rFonts w:cstheme="minorHAnsi"/>
              </w:rPr>
              <w:t>&lt;0.01</w:t>
            </w:r>
          </w:p>
        </w:tc>
      </w:tr>
      <w:tr w:rsidR="00691600" w:rsidRPr="0086735D" w14:paraId="5B953A67" w14:textId="77777777" w:rsidTr="00760A30">
        <w:tc>
          <w:tcPr>
            <w:tcW w:w="1838" w:type="pct"/>
          </w:tcPr>
          <w:p w14:paraId="5799CD15" w14:textId="7B9CBB5D" w:rsidR="00691600" w:rsidRPr="00845F73" w:rsidRDefault="00306736" w:rsidP="00760A30">
            <w:pPr>
              <w:rPr>
                <w:rFonts w:cstheme="minorHAnsi"/>
                <w:bCs/>
              </w:rPr>
            </w:pPr>
            <w:r w:rsidRPr="00845F73">
              <w:rPr>
                <w:rFonts w:cstheme="minorHAnsi"/>
                <w:bCs/>
              </w:rPr>
              <w:t xml:space="preserve">Relative </w:t>
            </w:r>
            <w:r>
              <w:rPr>
                <w:rFonts w:cstheme="minorHAnsi"/>
                <w:bCs/>
              </w:rPr>
              <w:t>Change</w:t>
            </w:r>
            <w:r w:rsidRPr="00845F73">
              <w:rPr>
                <w:rFonts w:cstheme="minorHAnsi"/>
                <w:bCs/>
              </w:rPr>
              <w:t>, %</w:t>
            </w:r>
            <w:r>
              <w:rPr>
                <w:rFonts w:cstheme="minorHAnsi"/>
                <w:bCs/>
                <w:vertAlign w:val="superscript"/>
              </w:rPr>
              <w:t>a</w:t>
            </w:r>
          </w:p>
        </w:tc>
        <w:tc>
          <w:tcPr>
            <w:tcW w:w="1589" w:type="pct"/>
          </w:tcPr>
          <w:p w14:paraId="425D7A1E" w14:textId="1F02367A" w:rsidR="00691600" w:rsidRPr="00845F73" w:rsidRDefault="002E5CD3" w:rsidP="00760A30">
            <w:pPr>
              <w:jc w:val="center"/>
              <w:rPr>
                <w:rFonts w:cstheme="minorHAnsi"/>
              </w:rPr>
            </w:pPr>
            <w:r>
              <w:rPr>
                <w:rFonts w:cstheme="minorHAnsi"/>
              </w:rPr>
              <w:t>-42.79 (</w:t>
            </w:r>
            <w:r w:rsidR="00535193">
              <w:rPr>
                <w:rFonts w:cstheme="minorHAnsi"/>
              </w:rPr>
              <w:t>-48</w:t>
            </w:r>
            <w:r w:rsidR="00B72D1B">
              <w:rPr>
                <w:rFonts w:cstheme="minorHAnsi"/>
              </w:rPr>
              <w:t>.38, -35.26)</w:t>
            </w:r>
          </w:p>
        </w:tc>
        <w:tc>
          <w:tcPr>
            <w:tcW w:w="987" w:type="pct"/>
          </w:tcPr>
          <w:p w14:paraId="1722A26C" w14:textId="77777777" w:rsidR="00691600" w:rsidRPr="00845F73" w:rsidRDefault="00691600" w:rsidP="00760A30">
            <w:pPr>
              <w:jc w:val="center"/>
              <w:rPr>
                <w:rFonts w:cstheme="minorHAnsi"/>
              </w:rPr>
            </w:pPr>
            <w:r>
              <w:rPr>
                <w:rFonts w:cstheme="minorHAnsi"/>
              </w:rPr>
              <w:t>n/a</w:t>
            </w:r>
          </w:p>
        </w:tc>
        <w:tc>
          <w:tcPr>
            <w:tcW w:w="586" w:type="pct"/>
          </w:tcPr>
          <w:p w14:paraId="26BDD4B0" w14:textId="77777777" w:rsidR="00691600" w:rsidRPr="00845F73" w:rsidRDefault="00691600" w:rsidP="00760A30">
            <w:pPr>
              <w:jc w:val="center"/>
              <w:rPr>
                <w:rFonts w:cstheme="minorHAnsi"/>
              </w:rPr>
            </w:pPr>
            <w:r>
              <w:rPr>
                <w:rFonts w:cstheme="minorHAnsi"/>
              </w:rPr>
              <w:t>n/a</w:t>
            </w:r>
          </w:p>
        </w:tc>
      </w:tr>
      <w:tr w:rsidR="00691600" w:rsidRPr="0086735D" w14:paraId="0A2C8773" w14:textId="77777777" w:rsidTr="00760A30">
        <w:trPr>
          <w:cnfStyle w:val="000000100000" w:firstRow="0" w:lastRow="0" w:firstColumn="0" w:lastColumn="0" w:oddVBand="0" w:evenVBand="0" w:oddHBand="1" w:evenHBand="0" w:firstRowFirstColumn="0" w:firstRowLastColumn="0" w:lastRowFirstColumn="0" w:lastRowLastColumn="0"/>
        </w:trPr>
        <w:tc>
          <w:tcPr>
            <w:tcW w:w="1838" w:type="pct"/>
          </w:tcPr>
          <w:p w14:paraId="06EE72CA" w14:textId="77777777" w:rsidR="00691600" w:rsidRPr="00BF17B2" w:rsidRDefault="00691600" w:rsidP="00760A30">
            <w:r w:rsidRPr="00845F73">
              <w:rPr>
                <w:rFonts w:cstheme="minorHAnsi"/>
                <w:bCs/>
              </w:rPr>
              <w:t>Durbin-Watson Statistic</w:t>
            </w:r>
          </w:p>
        </w:tc>
        <w:tc>
          <w:tcPr>
            <w:tcW w:w="1589" w:type="pct"/>
          </w:tcPr>
          <w:p w14:paraId="04B65C0B" w14:textId="38BFEBE0" w:rsidR="00691600" w:rsidRPr="00845F73" w:rsidRDefault="00782C69" w:rsidP="00760A30">
            <w:pPr>
              <w:jc w:val="center"/>
              <w:rPr>
                <w:rFonts w:cstheme="minorHAnsi"/>
              </w:rPr>
            </w:pPr>
            <w:r>
              <w:rPr>
                <w:rFonts w:cstheme="minorHAnsi"/>
              </w:rPr>
              <w:t>1.60</w:t>
            </w:r>
          </w:p>
        </w:tc>
        <w:tc>
          <w:tcPr>
            <w:tcW w:w="987" w:type="pct"/>
          </w:tcPr>
          <w:p w14:paraId="62F5CF5C" w14:textId="77777777" w:rsidR="00691600" w:rsidRPr="00845F73" w:rsidRDefault="00691600" w:rsidP="00760A30">
            <w:pPr>
              <w:jc w:val="center"/>
              <w:rPr>
                <w:rFonts w:cstheme="minorHAnsi"/>
              </w:rPr>
            </w:pPr>
            <w:r>
              <w:rPr>
                <w:rFonts w:cstheme="minorHAnsi"/>
              </w:rPr>
              <w:t>n/a</w:t>
            </w:r>
          </w:p>
        </w:tc>
        <w:tc>
          <w:tcPr>
            <w:tcW w:w="586" w:type="pct"/>
          </w:tcPr>
          <w:p w14:paraId="0B20F390" w14:textId="77777777" w:rsidR="00691600" w:rsidRPr="00845F73" w:rsidRDefault="00691600" w:rsidP="00760A30">
            <w:pPr>
              <w:jc w:val="center"/>
              <w:rPr>
                <w:rFonts w:cstheme="minorHAnsi"/>
              </w:rPr>
            </w:pPr>
            <w:r>
              <w:rPr>
                <w:rFonts w:cstheme="minorHAnsi"/>
              </w:rPr>
              <w:t>n/a</w:t>
            </w:r>
          </w:p>
        </w:tc>
      </w:tr>
      <w:tr w:rsidR="00691600" w:rsidRPr="0086735D" w14:paraId="7BFD4230" w14:textId="77777777" w:rsidTr="00760A30">
        <w:tc>
          <w:tcPr>
            <w:tcW w:w="5000" w:type="pct"/>
            <w:gridSpan w:val="4"/>
          </w:tcPr>
          <w:p w14:paraId="6954F9BA" w14:textId="77777777" w:rsidR="00691600" w:rsidRPr="00845F73" w:rsidRDefault="00691600" w:rsidP="00760A30">
            <w:pPr>
              <w:rPr>
                <w:rFonts w:cstheme="minorHAnsi"/>
              </w:rPr>
            </w:pPr>
            <w:r w:rsidRPr="00E122D3">
              <w:rPr>
                <w:b/>
                <w:bCs/>
              </w:rPr>
              <w:t>30-49</w:t>
            </w:r>
            <w:r>
              <w:rPr>
                <w:b/>
                <w:bCs/>
              </w:rPr>
              <w:t xml:space="preserve"> years</w:t>
            </w:r>
          </w:p>
        </w:tc>
      </w:tr>
      <w:tr w:rsidR="00691600" w:rsidRPr="0086735D" w14:paraId="7940B36A" w14:textId="77777777" w:rsidTr="00760A30">
        <w:trPr>
          <w:cnfStyle w:val="000000100000" w:firstRow="0" w:lastRow="0" w:firstColumn="0" w:lastColumn="0" w:oddVBand="0" w:evenVBand="0" w:oddHBand="1" w:evenHBand="0" w:firstRowFirstColumn="0" w:firstRowLastColumn="0" w:lastRowFirstColumn="0" w:lastRowLastColumn="0"/>
        </w:trPr>
        <w:tc>
          <w:tcPr>
            <w:tcW w:w="1838" w:type="pct"/>
          </w:tcPr>
          <w:p w14:paraId="3DE121AD" w14:textId="77777777" w:rsidR="00691600" w:rsidRPr="00BF17B2" w:rsidRDefault="00691600" w:rsidP="00760A30">
            <w:r w:rsidRPr="00845F73">
              <w:rPr>
                <w:rFonts w:cstheme="minorHAnsi"/>
              </w:rPr>
              <w:t>Intercept, β</w:t>
            </w:r>
            <w:r w:rsidRPr="00845F73">
              <w:rPr>
                <w:rFonts w:cstheme="minorHAnsi"/>
                <w:vertAlign w:val="subscript"/>
              </w:rPr>
              <w:t>0</w:t>
            </w:r>
          </w:p>
        </w:tc>
        <w:tc>
          <w:tcPr>
            <w:tcW w:w="1589" w:type="pct"/>
          </w:tcPr>
          <w:p w14:paraId="00D5B59B" w14:textId="5FCA13F8" w:rsidR="00691600" w:rsidRPr="00845F73" w:rsidRDefault="0032732A" w:rsidP="00760A30">
            <w:pPr>
              <w:jc w:val="center"/>
              <w:rPr>
                <w:rFonts w:cstheme="minorHAnsi"/>
              </w:rPr>
            </w:pPr>
            <w:r>
              <w:rPr>
                <w:rFonts w:cstheme="minorHAnsi"/>
              </w:rPr>
              <w:t>191.77 (</w:t>
            </w:r>
            <w:r w:rsidR="00EA46F0">
              <w:rPr>
                <w:rFonts w:cstheme="minorHAnsi"/>
              </w:rPr>
              <w:t>183.</w:t>
            </w:r>
            <w:r w:rsidR="009D6CCE">
              <w:rPr>
                <w:rFonts w:cstheme="minorHAnsi"/>
              </w:rPr>
              <w:t>93, 199.61)</w:t>
            </w:r>
          </w:p>
        </w:tc>
        <w:tc>
          <w:tcPr>
            <w:tcW w:w="987" w:type="pct"/>
          </w:tcPr>
          <w:p w14:paraId="21A4A0ED" w14:textId="3DD50B00" w:rsidR="00691600" w:rsidRPr="00845F73" w:rsidRDefault="007B02E1" w:rsidP="00760A30">
            <w:pPr>
              <w:jc w:val="center"/>
              <w:rPr>
                <w:rFonts w:cstheme="minorHAnsi"/>
              </w:rPr>
            </w:pPr>
            <w:r>
              <w:rPr>
                <w:rFonts w:cstheme="minorHAnsi"/>
              </w:rPr>
              <w:t>3.87</w:t>
            </w:r>
          </w:p>
        </w:tc>
        <w:tc>
          <w:tcPr>
            <w:tcW w:w="586" w:type="pct"/>
          </w:tcPr>
          <w:p w14:paraId="43BE5E9E" w14:textId="662CF48D" w:rsidR="00691600" w:rsidRPr="00845F73" w:rsidRDefault="00CF5A7B" w:rsidP="00760A30">
            <w:pPr>
              <w:jc w:val="center"/>
              <w:rPr>
                <w:rFonts w:cstheme="minorHAnsi"/>
              </w:rPr>
            </w:pPr>
            <w:r>
              <w:rPr>
                <w:rFonts w:cstheme="minorHAnsi"/>
              </w:rPr>
              <w:t>&lt;0.01</w:t>
            </w:r>
          </w:p>
        </w:tc>
      </w:tr>
      <w:tr w:rsidR="00691600" w:rsidRPr="0086735D" w14:paraId="3227E70E" w14:textId="77777777" w:rsidTr="00760A30">
        <w:tc>
          <w:tcPr>
            <w:tcW w:w="1838" w:type="pct"/>
          </w:tcPr>
          <w:p w14:paraId="422FF420" w14:textId="77777777" w:rsidR="00691600" w:rsidRPr="00BF17B2" w:rsidRDefault="00691600" w:rsidP="00760A30">
            <w:r w:rsidRPr="00845F73">
              <w:rPr>
                <w:rFonts w:cstheme="minorHAnsi"/>
              </w:rPr>
              <w:t>Pre-Intervention Trend, β</w:t>
            </w:r>
            <w:r w:rsidRPr="00845F73">
              <w:rPr>
                <w:rFonts w:cstheme="minorHAnsi"/>
                <w:vertAlign w:val="subscript"/>
              </w:rPr>
              <w:t>1</w:t>
            </w:r>
          </w:p>
        </w:tc>
        <w:tc>
          <w:tcPr>
            <w:tcW w:w="1589" w:type="pct"/>
          </w:tcPr>
          <w:p w14:paraId="44B54AF6" w14:textId="5342B838" w:rsidR="00691600" w:rsidRPr="00845F73" w:rsidRDefault="0032732A" w:rsidP="00760A30">
            <w:pPr>
              <w:jc w:val="center"/>
              <w:rPr>
                <w:rFonts w:cstheme="minorHAnsi"/>
              </w:rPr>
            </w:pPr>
            <w:r>
              <w:rPr>
                <w:rFonts w:cstheme="minorHAnsi"/>
              </w:rPr>
              <w:t>3.44</w:t>
            </w:r>
            <w:r w:rsidR="009D6CCE">
              <w:rPr>
                <w:rFonts w:cstheme="minorHAnsi"/>
              </w:rPr>
              <w:t xml:space="preserve"> (2.63, </w:t>
            </w:r>
            <w:r w:rsidR="007B02E1">
              <w:rPr>
                <w:rFonts w:cstheme="minorHAnsi"/>
              </w:rPr>
              <w:t>4.25)</w:t>
            </w:r>
          </w:p>
        </w:tc>
        <w:tc>
          <w:tcPr>
            <w:tcW w:w="987" w:type="pct"/>
          </w:tcPr>
          <w:p w14:paraId="7A09A950" w14:textId="5A0345FD" w:rsidR="00691600" w:rsidRPr="00845F73" w:rsidRDefault="00E647F2" w:rsidP="00760A30">
            <w:pPr>
              <w:jc w:val="center"/>
              <w:rPr>
                <w:rFonts w:cstheme="minorHAnsi"/>
              </w:rPr>
            </w:pPr>
            <w:r>
              <w:rPr>
                <w:rFonts w:cstheme="minorHAnsi"/>
              </w:rPr>
              <w:t>0.40</w:t>
            </w:r>
          </w:p>
        </w:tc>
        <w:tc>
          <w:tcPr>
            <w:tcW w:w="586" w:type="pct"/>
          </w:tcPr>
          <w:p w14:paraId="5FB15C1E" w14:textId="24D7E9F4" w:rsidR="00691600" w:rsidRPr="00845F73" w:rsidRDefault="00E647F2" w:rsidP="00760A30">
            <w:pPr>
              <w:jc w:val="center"/>
              <w:rPr>
                <w:rFonts w:cstheme="minorHAnsi"/>
              </w:rPr>
            </w:pPr>
            <w:r>
              <w:rPr>
                <w:rFonts w:cstheme="minorHAnsi"/>
              </w:rPr>
              <w:t>&lt;0.01</w:t>
            </w:r>
          </w:p>
        </w:tc>
      </w:tr>
      <w:tr w:rsidR="00691600" w:rsidRPr="0086735D" w14:paraId="3D119721" w14:textId="77777777" w:rsidTr="00760A30">
        <w:trPr>
          <w:cnfStyle w:val="000000100000" w:firstRow="0" w:lastRow="0" w:firstColumn="0" w:lastColumn="0" w:oddVBand="0" w:evenVBand="0" w:oddHBand="1" w:evenHBand="0" w:firstRowFirstColumn="0" w:firstRowLastColumn="0" w:lastRowFirstColumn="0" w:lastRowLastColumn="0"/>
        </w:trPr>
        <w:tc>
          <w:tcPr>
            <w:tcW w:w="1838" w:type="pct"/>
            <w:vAlign w:val="center"/>
          </w:tcPr>
          <w:p w14:paraId="3FD7DD1A" w14:textId="77777777" w:rsidR="00691600" w:rsidRPr="00BF17B2" w:rsidRDefault="00691600" w:rsidP="00760A30">
            <w:r w:rsidRPr="00845F73">
              <w:rPr>
                <w:rFonts w:cstheme="minorHAnsi"/>
              </w:rPr>
              <w:t>Change in Level, β</w:t>
            </w:r>
            <w:r w:rsidRPr="00845F73">
              <w:rPr>
                <w:rFonts w:cstheme="minorHAnsi"/>
                <w:vertAlign w:val="subscript"/>
              </w:rPr>
              <w:t>2</w:t>
            </w:r>
          </w:p>
        </w:tc>
        <w:tc>
          <w:tcPr>
            <w:tcW w:w="1589" w:type="pct"/>
          </w:tcPr>
          <w:p w14:paraId="574A0031" w14:textId="13B6982C" w:rsidR="00691600" w:rsidRPr="00845F73" w:rsidRDefault="006413B1" w:rsidP="00760A30">
            <w:pPr>
              <w:jc w:val="center"/>
              <w:rPr>
                <w:rFonts w:cstheme="minorHAnsi"/>
              </w:rPr>
            </w:pPr>
            <w:r>
              <w:rPr>
                <w:rFonts w:cstheme="minorHAnsi"/>
              </w:rPr>
              <w:t>9.18</w:t>
            </w:r>
            <w:r w:rsidR="007D28A4">
              <w:rPr>
                <w:rFonts w:cstheme="minorHAnsi"/>
              </w:rPr>
              <w:t xml:space="preserve"> (-0.16, </w:t>
            </w:r>
            <w:r w:rsidR="00A70690">
              <w:rPr>
                <w:rFonts w:cstheme="minorHAnsi"/>
              </w:rPr>
              <w:t>18.53)</w:t>
            </w:r>
          </w:p>
        </w:tc>
        <w:tc>
          <w:tcPr>
            <w:tcW w:w="987" w:type="pct"/>
          </w:tcPr>
          <w:p w14:paraId="4CF63828" w14:textId="0A3AB8EE" w:rsidR="00691600" w:rsidRPr="00845F73" w:rsidRDefault="00A70690" w:rsidP="00760A30">
            <w:pPr>
              <w:jc w:val="center"/>
              <w:rPr>
                <w:rFonts w:cstheme="minorHAnsi"/>
              </w:rPr>
            </w:pPr>
            <w:r>
              <w:rPr>
                <w:rFonts w:cstheme="minorHAnsi"/>
              </w:rPr>
              <w:t>4.62</w:t>
            </w:r>
          </w:p>
        </w:tc>
        <w:tc>
          <w:tcPr>
            <w:tcW w:w="586" w:type="pct"/>
          </w:tcPr>
          <w:p w14:paraId="1CD54700" w14:textId="34934204" w:rsidR="00691600" w:rsidRPr="00845F73" w:rsidRDefault="00B057AC" w:rsidP="00760A30">
            <w:pPr>
              <w:jc w:val="center"/>
              <w:rPr>
                <w:rFonts w:cstheme="minorHAnsi"/>
              </w:rPr>
            </w:pPr>
            <w:r>
              <w:rPr>
                <w:rFonts w:cstheme="minorHAnsi"/>
              </w:rPr>
              <w:t>0.05</w:t>
            </w:r>
          </w:p>
        </w:tc>
      </w:tr>
      <w:tr w:rsidR="00691600" w:rsidRPr="0086735D" w14:paraId="3BC7A02B" w14:textId="77777777" w:rsidTr="00760A30">
        <w:tc>
          <w:tcPr>
            <w:tcW w:w="1838" w:type="pct"/>
          </w:tcPr>
          <w:p w14:paraId="66DF9571" w14:textId="77777777" w:rsidR="00691600" w:rsidRPr="00BF17B2" w:rsidRDefault="00691600" w:rsidP="00760A30">
            <w:r w:rsidRPr="00845F73">
              <w:rPr>
                <w:rFonts w:cstheme="minorHAnsi"/>
              </w:rPr>
              <w:t>Change in Trend, β</w:t>
            </w:r>
            <w:r w:rsidRPr="00845F73">
              <w:rPr>
                <w:rFonts w:cstheme="minorHAnsi"/>
                <w:vertAlign w:val="subscript"/>
              </w:rPr>
              <w:t>3</w:t>
            </w:r>
          </w:p>
        </w:tc>
        <w:tc>
          <w:tcPr>
            <w:tcW w:w="1589" w:type="pct"/>
          </w:tcPr>
          <w:p w14:paraId="2A7502B1" w14:textId="293155ED" w:rsidR="00691600" w:rsidRPr="00845F73" w:rsidRDefault="006413B1" w:rsidP="00760A30">
            <w:pPr>
              <w:jc w:val="center"/>
              <w:rPr>
                <w:rFonts w:cstheme="minorHAnsi"/>
              </w:rPr>
            </w:pPr>
            <w:r>
              <w:rPr>
                <w:rFonts w:cstheme="minorHAnsi"/>
              </w:rPr>
              <w:t>-4.38</w:t>
            </w:r>
            <w:r w:rsidR="00EB1F54">
              <w:rPr>
                <w:rFonts w:cstheme="minorHAnsi"/>
              </w:rPr>
              <w:t xml:space="preserve"> (-5.28, </w:t>
            </w:r>
            <w:r w:rsidR="00A22FF7">
              <w:rPr>
                <w:rFonts w:cstheme="minorHAnsi"/>
              </w:rPr>
              <w:t>-3.48)</w:t>
            </w:r>
          </w:p>
        </w:tc>
        <w:tc>
          <w:tcPr>
            <w:tcW w:w="987" w:type="pct"/>
          </w:tcPr>
          <w:p w14:paraId="65F516B1" w14:textId="63FD0730" w:rsidR="00691600" w:rsidRPr="00845F73" w:rsidRDefault="00A22FF7" w:rsidP="00760A30">
            <w:pPr>
              <w:jc w:val="center"/>
              <w:rPr>
                <w:rFonts w:cstheme="minorHAnsi"/>
              </w:rPr>
            </w:pPr>
            <w:r>
              <w:rPr>
                <w:rFonts w:cstheme="minorHAnsi"/>
              </w:rPr>
              <w:t>0.44</w:t>
            </w:r>
          </w:p>
        </w:tc>
        <w:tc>
          <w:tcPr>
            <w:tcW w:w="586" w:type="pct"/>
          </w:tcPr>
          <w:p w14:paraId="06746EB4" w14:textId="29CF23F1" w:rsidR="00691600" w:rsidRPr="00845F73" w:rsidRDefault="00A22FF7" w:rsidP="00760A30">
            <w:pPr>
              <w:jc w:val="center"/>
              <w:rPr>
                <w:rFonts w:cstheme="minorHAnsi"/>
              </w:rPr>
            </w:pPr>
            <w:r>
              <w:rPr>
                <w:rFonts w:cstheme="minorHAnsi"/>
              </w:rPr>
              <w:t>&lt;0.01</w:t>
            </w:r>
          </w:p>
        </w:tc>
      </w:tr>
      <w:tr w:rsidR="00691600" w:rsidRPr="0086735D" w14:paraId="2191D14A" w14:textId="77777777" w:rsidTr="00760A30">
        <w:trPr>
          <w:cnfStyle w:val="000000100000" w:firstRow="0" w:lastRow="0" w:firstColumn="0" w:lastColumn="0" w:oddVBand="0" w:evenVBand="0" w:oddHBand="1" w:evenHBand="0" w:firstRowFirstColumn="0" w:firstRowLastColumn="0" w:lastRowFirstColumn="0" w:lastRowLastColumn="0"/>
        </w:trPr>
        <w:tc>
          <w:tcPr>
            <w:tcW w:w="1838" w:type="pct"/>
          </w:tcPr>
          <w:p w14:paraId="745874F9" w14:textId="21708FE5" w:rsidR="00691600" w:rsidRPr="00BF17B2" w:rsidRDefault="00691600" w:rsidP="00760A30">
            <w:r w:rsidRPr="00845F73">
              <w:rPr>
                <w:rFonts w:cstheme="minorHAnsi"/>
                <w:bCs/>
              </w:rPr>
              <w:t xml:space="preserve">Post-Intervention Trend, </w:t>
            </w:r>
            <w:r w:rsidRPr="00845F73">
              <w:rPr>
                <w:rFonts w:cstheme="minorHAnsi"/>
              </w:rPr>
              <w:t>β</w:t>
            </w:r>
            <w:r w:rsidRPr="00845F73">
              <w:rPr>
                <w:rFonts w:cstheme="minorHAnsi"/>
                <w:vertAlign w:val="subscript"/>
              </w:rPr>
              <w:t>1+3</w:t>
            </w:r>
          </w:p>
        </w:tc>
        <w:tc>
          <w:tcPr>
            <w:tcW w:w="1589" w:type="pct"/>
          </w:tcPr>
          <w:p w14:paraId="008C6F1E" w14:textId="14779E35" w:rsidR="00691600" w:rsidRPr="00845F73" w:rsidRDefault="00C05204" w:rsidP="00760A30">
            <w:pPr>
              <w:jc w:val="center"/>
              <w:rPr>
                <w:rFonts w:cstheme="minorHAnsi"/>
              </w:rPr>
            </w:pPr>
            <w:r>
              <w:rPr>
                <w:rFonts w:cstheme="minorHAnsi"/>
              </w:rPr>
              <w:t xml:space="preserve">-0.95 </w:t>
            </w:r>
            <w:r w:rsidR="00F16055">
              <w:rPr>
                <w:rFonts w:cstheme="minorHAnsi"/>
              </w:rPr>
              <w:t>(</w:t>
            </w:r>
            <w:r w:rsidR="00041B0F">
              <w:rPr>
                <w:rFonts w:cstheme="minorHAnsi"/>
              </w:rPr>
              <w:t>-1.39, -0.50)</w:t>
            </w:r>
          </w:p>
        </w:tc>
        <w:tc>
          <w:tcPr>
            <w:tcW w:w="987" w:type="pct"/>
          </w:tcPr>
          <w:p w14:paraId="268F92B7" w14:textId="2056F851" w:rsidR="00691600" w:rsidRPr="00845F73" w:rsidRDefault="00041B0F" w:rsidP="00760A30">
            <w:pPr>
              <w:jc w:val="center"/>
              <w:rPr>
                <w:rFonts w:cstheme="minorHAnsi"/>
              </w:rPr>
            </w:pPr>
            <w:r>
              <w:rPr>
                <w:rFonts w:cstheme="minorHAnsi"/>
              </w:rPr>
              <w:t>0.21</w:t>
            </w:r>
          </w:p>
        </w:tc>
        <w:tc>
          <w:tcPr>
            <w:tcW w:w="586" w:type="pct"/>
          </w:tcPr>
          <w:p w14:paraId="6CFC2E87" w14:textId="38BB4E86" w:rsidR="00691600" w:rsidRPr="00845F73" w:rsidRDefault="00041B0F" w:rsidP="00760A30">
            <w:pPr>
              <w:jc w:val="center"/>
              <w:rPr>
                <w:rFonts w:cstheme="minorHAnsi"/>
              </w:rPr>
            </w:pPr>
            <w:r>
              <w:rPr>
                <w:rFonts w:cstheme="minorHAnsi"/>
              </w:rPr>
              <w:t>&lt;0.01</w:t>
            </w:r>
          </w:p>
        </w:tc>
      </w:tr>
      <w:tr w:rsidR="00691600" w:rsidRPr="0086735D" w14:paraId="5E970F70" w14:textId="77777777" w:rsidTr="00760A30">
        <w:tc>
          <w:tcPr>
            <w:tcW w:w="1838" w:type="pct"/>
          </w:tcPr>
          <w:p w14:paraId="7216D6D3" w14:textId="3BB32BBF" w:rsidR="00691600" w:rsidRPr="00BF17B2" w:rsidRDefault="00306736" w:rsidP="00760A30">
            <w:r w:rsidRPr="00845F73">
              <w:rPr>
                <w:rFonts w:cstheme="minorHAnsi"/>
                <w:bCs/>
              </w:rPr>
              <w:t xml:space="preserve">Relative </w:t>
            </w:r>
            <w:r>
              <w:rPr>
                <w:rFonts w:cstheme="minorHAnsi"/>
                <w:bCs/>
              </w:rPr>
              <w:t>Change</w:t>
            </w:r>
            <w:r w:rsidRPr="00845F73">
              <w:rPr>
                <w:rFonts w:cstheme="minorHAnsi"/>
                <w:bCs/>
              </w:rPr>
              <w:t>, %</w:t>
            </w:r>
            <w:r>
              <w:rPr>
                <w:rFonts w:cstheme="minorHAnsi"/>
                <w:bCs/>
                <w:vertAlign w:val="superscript"/>
              </w:rPr>
              <w:t>a</w:t>
            </w:r>
          </w:p>
        </w:tc>
        <w:tc>
          <w:tcPr>
            <w:tcW w:w="1589" w:type="pct"/>
          </w:tcPr>
          <w:p w14:paraId="713C5FC6" w14:textId="29638C06" w:rsidR="00691600" w:rsidRPr="00845F73" w:rsidRDefault="00670399" w:rsidP="00760A30">
            <w:pPr>
              <w:jc w:val="center"/>
              <w:rPr>
                <w:rFonts w:cstheme="minorHAnsi"/>
              </w:rPr>
            </w:pPr>
            <w:r>
              <w:rPr>
                <w:rFonts w:cstheme="minorHAnsi"/>
              </w:rPr>
              <w:t>-31.16 (</w:t>
            </w:r>
            <w:r w:rsidR="00DB4469">
              <w:rPr>
                <w:rFonts w:cstheme="minorHAnsi"/>
              </w:rPr>
              <w:t>-35</w:t>
            </w:r>
            <w:r w:rsidR="00F82594">
              <w:rPr>
                <w:rFonts w:cstheme="minorHAnsi"/>
              </w:rPr>
              <w:t>.28, -26.03)</w:t>
            </w:r>
          </w:p>
        </w:tc>
        <w:tc>
          <w:tcPr>
            <w:tcW w:w="987" w:type="pct"/>
          </w:tcPr>
          <w:p w14:paraId="34332A56" w14:textId="77777777" w:rsidR="00691600" w:rsidRPr="00845F73" w:rsidRDefault="00691600" w:rsidP="00760A30">
            <w:pPr>
              <w:jc w:val="center"/>
              <w:rPr>
                <w:rFonts w:cstheme="minorHAnsi"/>
              </w:rPr>
            </w:pPr>
            <w:r>
              <w:rPr>
                <w:rFonts w:cstheme="minorHAnsi"/>
              </w:rPr>
              <w:t>n/a</w:t>
            </w:r>
          </w:p>
        </w:tc>
        <w:tc>
          <w:tcPr>
            <w:tcW w:w="586" w:type="pct"/>
          </w:tcPr>
          <w:p w14:paraId="29EC0560" w14:textId="77777777" w:rsidR="00691600" w:rsidRPr="00845F73" w:rsidRDefault="00691600" w:rsidP="00760A30">
            <w:pPr>
              <w:jc w:val="center"/>
              <w:rPr>
                <w:rFonts w:cstheme="minorHAnsi"/>
              </w:rPr>
            </w:pPr>
            <w:r>
              <w:rPr>
                <w:rFonts w:cstheme="minorHAnsi"/>
              </w:rPr>
              <w:t>n/a</w:t>
            </w:r>
          </w:p>
        </w:tc>
      </w:tr>
      <w:tr w:rsidR="00691600" w:rsidRPr="0086735D" w14:paraId="27D80E46" w14:textId="77777777" w:rsidTr="00760A30">
        <w:trPr>
          <w:cnfStyle w:val="000000100000" w:firstRow="0" w:lastRow="0" w:firstColumn="0" w:lastColumn="0" w:oddVBand="0" w:evenVBand="0" w:oddHBand="1" w:evenHBand="0" w:firstRowFirstColumn="0" w:firstRowLastColumn="0" w:lastRowFirstColumn="0" w:lastRowLastColumn="0"/>
        </w:trPr>
        <w:tc>
          <w:tcPr>
            <w:tcW w:w="1838" w:type="pct"/>
          </w:tcPr>
          <w:p w14:paraId="6438142D" w14:textId="77777777" w:rsidR="00691600" w:rsidRPr="00BF17B2" w:rsidRDefault="00691600" w:rsidP="00760A30">
            <w:r w:rsidRPr="00845F73">
              <w:rPr>
                <w:rFonts w:cstheme="minorHAnsi"/>
                <w:bCs/>
              </w:rPr>
              <w:t>Durbin-Watson Statistic</w:t>
            </w:r>
          </w:p>
        </w:tc>
        <w:tc>
          <w:tcPr>
            <w:tcW w:w="1589" w:type="pct"/>
          </w:tcPr>
          <w:p w14:paraId="566AF00B" w14:textId="455CD81F" w:rsidR="00691600" w:rsidRPr="00845F73" w:rsidRDefault="001B1528" w:rsidP="00760A30">
            <w:pPr>
              <w:jc w:val="center"/>
              <w:rPr>
                <w:rFonts w:cstheme="minorHAnsi"/>
              </w:rPr>
            </w:pPr>
            <w:r>
              <w:rPr>
                <w:rFonts w:cstheme="minorHAnsi"/>
              </w:rPr>
              <w:t>1.79</w:t>
            </w:r>
          </w:p>
        </w:tc>
        <w:tc>
          <w:tcPr>
            <w:tcW w:w="987" w:type="pct"/>
          </w:tcPr>
          <w:p w14:paraId="5F87ACD6" w14:textId="77777777" w:rsidR="00691600" w:rsidRPr="00845F73" w:rsidRDefault="00691600" w:rsidP="00760A30">
            <w:pPr>
              <w:jc w:val="center"/>
              <w:rPr>
                <w:rFonts w:cstheme="minorHAnsi"/>
              </w:rPr>
            </w:pPr>
            <w:r>
              <w:rPr>
                <w:rFonts w:cstheme="minorHAnsi"/>
              </w:rPr>
              <w:t>n/a</w:t>
            </w:r>
          </w:p>
        </w:tc>
        <w:tc>
          <w:tcPr>
            <w:tcW w:w="586" w:type="pct"/>
          </w:tcPr>
          <w:p w14:paraId="72FE7B96" w14:textId="77777777" w:rsidR="00691600" w:rsidRPr="00845F73" w:rsidRDefault="00691600" w:rsidP="00760A30">
            <w:pPr>
              <w:jc w:val="center"/>
              <w:rPr>
                <w:rFonts w:cstheme="minorHAnsi"/>
              </w:rPr>
            </w:pPr>
            <w:r>
              <w:rPr>
                <w:rFonts w:cstheme="minorHAnsi"/>
              </w:rPr>
              <w:t>n/a</w:t>
            </w:r>
          </w:p>
        </w:tc>
      </w:tr>
      <w:tr w:rsidR="00691600" w:rsidRPr="0086735D" w14:paraId="227B2F86" w14:textId="77777777" w:rsidTr="00760A30">
        <w:tc>
          <w:tcPr>
            <w:tcW w:w="5000" w:type="pct"/>
            <w:gridSpan w:val="4"/>
          </w:tcPr>
          <w:p w14:paraId="26A852BF" w14:textId="77777777" w:rsidR="00691600" w:rsidRPr="00845F73" w:rsidRDefault="00691600" w:rsidP="00760A30">
            <w:pPr>
              <w:rPr>
                <w:rFonts w:cstheme="minorHAnsi"/>
              </w:rPr>
            </w:pPr>
            <w:r w:rsidRPr="00E122D3">
              <w:rPr>
                <w:b/>
                <w:bCs/>
              </w:rPr>
              <w:t>50-69 years</w:t>
            </w:r>
          </w:p>
        </w:tc>
      </w:tr>
      <w:tr w:rsidR="00691600" w:rsidRPr="0086735D" w14:paraId="35C1E117" w14:textId="77777777" w:rsidTr="00760A30">
        <w:trPr>
          <w:cnfStyle w:val="000000100000" w:firstRow="0" w:lastRow="0" w:firstColumn="0" w:lastColumn="0" w:oddVBand="0" w:evenVBand="0" w:oddHBand="1" w:evenHBand="0" w:firstRowFirstColumn="0" w:firstRowLastColumn="0" w:lastRowFirstColumn="0" w:lastRowLastColumn="0"/>
        </w:trPr>
        <w:tc>
          <w:tcPr>
            <w:tcW w:w="1838" w:type="pct"/>
          </w:tcPr>
          <w:p w14:paraId="6ADADBC1" w14:textId="77777777" w:rsidR="00691600" w:rsidRPr="00BF17B2" w:rsidRDefault="00691600" w:rsidP="00760A30">
            <w:r w:rsidRPr="00845F73">
              <w:rPr>
                <w:rFonts w:cstheme="minorHAnsi"/>
              </w:rPr>
              <w:t>Intercept, β</w:t>
            </w:r>
            <w:r w:rsidRPr="00845F73">
              <w:rPr>
                <w:rFonts w:cstheme="minorHAnsi"/>
                <w:vertAlign w:val="subscript"/>
              </w:rPr>
              <w:t>0</w:t>
            </w:r>
          </w:p>
        </w:tc>
        <w:tc>
          <w:tcPr>
            <w:tcW w:w="1589" w:type="pct"/>
          </w:tcPr>
          <w:p w14:paraId="692D5E2B" w14:textId="12E60EB7" w:rsidR="00691600" w:rsidRPr="00845F73" w:rsidRDefault="00397229" w:rsidP="00760A30">
            <w:pPr>
              <w:jc w:val="center"/>
              <w:rPr>
                <w:rFonts w:cstheme="minorHAnsi"/>
              </w:rPr>
            </w:pPr>
            <w:r>
              <w:rPr>
                <w:rFonts w:cstheme="minorHAnsi"/>
              </w:rPr>
              <w:t>388.</w:t>
            </w:r>
            <w:r w:rsidR="00F848DA">
              <w:rPr>
                <w:rFonts w:cstheme="minorHAnsi"/>
              </w:rPr>
              <w:t>05 (</w:t>
            </w:r>
            <w:r w:rsidR="002F3573">
              <w:rPr>
                <w:rFonts w:cstheme="minorHAnsi"/>
              </w:rPr>
              <w:t>376.</w:t>
            </w:r>
            <w:r w:rsidR="004D207B">
              <w:rPr>
                <w:rFonts w:cstheme="minorHAnsi"/>
              </w:rPr>
              <w:t>35, 399.75)</w:t>
            </w:r>
          </w:p>
        </w:tc>
        <w:tc>
          <w:tcPr>
            <w:tcW w:w="987" w:type="pct"/>
          </w:tcPr>
          <w:p w14:paraId="0C82768F" w14:textId="45E24F7D" w:rsidR="00691600" w:rsidRPr="00845F73" w:rsidRDefault="00935F37" w:rsidP="00760A30">
            <w:pPr>
              <w:jc w:val="center"/>
              <w:rPr>
                <w:rFonts w:cstheme="minorHAnsi"/>
              </w:rPr>
            </w:pPr>
            <w:r>
              <w:rPr>
                <w:rFonts w:cstheme="minorHAnsi"/>
              </w:rPr>
              <w:t>5.78</w:t>
            </w:r>
          </w:p>
        </w:tc>
        <w:tc>
          <w:tcPr>
            <w:tcW w:w="586" w:type="pct"/>
          </w:tcPr>
          <w:p w14:paraId="040B04C0" w14:textId="0343BCF0" w:rsidR="00691600" w:rsidRPr="00845F73" w:rsidRDefault="00935F37" w:rsidP="00760A30">
            <w:pPr>
              <w:jc w:val="center"/>
              <w:rPr>
                <w:rFonts w:cstheme="minorHAnsi"/>
              </w:rPr>
            </w:pPr>
            <w:r>
              <w:rPr>
                <w:rFonts w:cstheme="minorHAnsi"/>
              </w:rPr>
              <w:t>&lt;0.01</w:t>
            </w:r>
          </w:p>
        </w:tc>
      </w:tr>
      <w:tr w:rsidR="00691600" w:rsidRPr="0086735D" w14:paraId="32D0D4DC" w14:textId="77777777" w:rsidTr="00760A30">
        <w:tc>
          <w:tcPr>
            <w:tcW w:w="1838" w:type="pct"/>
          </w:tcPr>
          <w:p w14:paraId="69E4F0B1" w14:textId="77777777" w:rsidR="00691600" w:rsidRPr="00BF17B2" w:rsidRDefault="00691600" w:rsidP="00760A30">
            <w:r w:rsidRPr="00845F73">
              <w:rPr>
                <w:rFonts w:cstheme="minorHAnsi"/>
              </w:rPr>
              <w:t>Pre-Intervention Trend, β</w:t>
            </w:r>
            <w:r w:rsidRPr="00845F73">
              <w:rPr>
                <w:rFonts w:cstheme="minorHAnsi"/>
                <w:vertAlign w:val="subscript"/>
              </w:rPr>
              <w:t>1</w:t>
            </w:r>
          </w:p>
        </w:tc>
        <w:tc>
          <w:tcPr>
            <w:tcW w:w="1589" w:type="pct"/>
          </w:tcPr>
          <w:p w14:paraId="0EF29F21" w14:textId="3045945D" w:rsidR="00691600" w:rsidRPr="00845F73" w:rsidRDefault="00935F37" w:rsidP="00760A30">
            <w:pPr>
              <w:jc w:val="center"/>
              <w:rPr>
                <w:rFonts w:cstheme="minorHAnsi"/>
              </w:rPr>
            </w:pPr>
            <w:r>
              <w:rPr>
                <w:rFonts w:cstheme="minorHAnsi"/>
              </w:rPr>
              <w:t>2.74 (</w:t>
            </w:r>
            <w:r w:rsidR="00F501CD">
              <w:rPr>
                <w:rFonts w:cstheme="minorHAnsi"/>
              </w:rPr>
              <w:t>1.53</w:t>
            </w:r>
            <w:r w:rsidR="002F4F82">
              <w:rPr>
                <w:rFonts w:cstheme="minorHAnsi"/>
              </w:rPr>
              <w:t>, 3.95)</w:t>
            </w:r>
          </w:p>
        </w:tc>
        <w:tc>
          <w:tcPr>
            <w:tcW w:w="987" w:type="pct"/>
          </w:tcPr>
          <w:p w14:paraId="0CCF6CE3" w14:textId="53CE9F8A" w:rsidR="00691600" w:rsidRPr="00845F73" w:rsidRDefault="002F4F82" w:rsidP="00760A30">
            <w:pPr>
              <w:jc w:val="center"/>
              <w:rPr>
                <w:rFonts w:cstheme="minorHAnsi"/>
              </w:rPr>
            </w:pPr>
            <w:r>
              <w:rPr>
                <w:rFonts w:cstheme="minorHAnsi"/>
              </w:rPr>
              <w:t>0.60</w:t>
            </w:r>
          </w:p>
        </w:tc>
        <w:tc>
          <w:tcPr>
            <w:tcW w:w="586" w:type="pct"/>
          </w:tcPr>
          <w:p w14:paraId="0C910747" w14:textId="3792B7FD" w:rsidR="00691600" w:rsidRPr="00845F73" w:rsidRDefault="002F4F82" w:rsidP="00760A30">
            <w:pPr>
              <w:jc w:val="center"/>
              <w:rPr>
                <w:rFonts w:cstheme="minorHAnsi"/>
              </w:rPr>
            </w:pPr>
            <w:r>
              <w:rPr>
                <w:rFonts w:cstheme="minorHAnsi"/>
              </w:rPr>
              <w:t>&lt;0.01</w:t>
            </w:r>
          </w:p>
        </w:tc>
      </w:tr>
      <w:tr w:rsidR="00691600" w:rsidRPr="0086735D" w14:paraId="7F4D69B4" w14:textId="77777777" w:rsidTr="00760A30">
        <w:trPr>
          <w:cnfStyle w:val="000000100000" w:firstRow="0" w:lastRow="0" w:firstColumn="0" w:lastColumn="0" w:oddVBand="0" w:evenVBand="0" w:oddHBand="1" w:evenHBand="0" w:firstRowFirstColumn="0" w:firstRowLastColumn="0" w:lastRowFirstColumn="0" w:lastRowLastColumn="0"/>
        </w:trPr>
        <w:tc>
          <w:tcPr>
            <w:tcW w:w="1838" w:type="pct"/>
            <w:vAlign w:val="center"/>
          </w:tcPr>
          <w:p w14:paraId="1082B9E4" w14:textId="77777777" w:rsidR="00691600" w:rsidRPr="00BF17B2" w:rsidRDefault="00691600" w:rsidP="00760A30">
            <w:r w:rsidRPr="00845F73">
              <w:rPr>
                <w:rFonts w:cstheme="minorHAnsi"/>
              </w:rPr>
              <w:t>Change in Level, β</w:t>
            </w:r>
            <w:r w:rsidRPr="00845F73">
              <w:rPr>
                <w:rFonts w:cstheme="minorHAnsi"/>
                <w:vertAlign w:val="subscript"/>
              </w:rPr>
              <w:t>2</w:t>
            </w:r>
          </w:p>
        </w:tc>
        <w:tc>
          <w:tcPr>
            <w:tcW w:w="1589" w:type="pct"/>
          </w:tcPr>
          <w:p w14:paraId="02221BA0" w14:textId="66A45C67" w:rsidR="00691600" w:rsidRPr="00845F73" w:rsidRDefault="00177A4F" w:rsidP="00760A30">
            <w:pPr>
              <w:jc w:val="center"/>
              <w:rPr>
                <w:rFonts w:cstheme="minorHAnsi"/>
              </w:rPr>
            </w:pPr>
            <w:r>
              <w:rPr>
                <w:rFonts w:cstheme="minorHAnsi"/>
              </w:rPr>
              <w:t>4.42 (</w:t>
            </w:r>
            <w:r w:rsidR="00FA2FD4">
              <w:rPr>
                <w:rFonts w:cstheme="minorHAnsi"/>
              </w:rPr>
              <w:t>-9.</w:t>
            </w:r>
            <w:r w:rsidR="005451DD">
              <w:rPr>
                <w:rFonts w:cstheme="minorHAnsi"/>
              </w:rPr>
              <w:t>53, 18.37)</w:t>
            </w:r>
          </w:p>
        </w:tc>
        <w:tc>
          <w:tcPr>
            <w:tcW w:w="987" w:type="pct"/>
          </w:tcPr>
          <w:p w14:paraId="718A7AA6" w14:textId="06AD4EB9" w:rsidR="00691600" w:rsidRPr="00845F73" w:rsidRDefault="005451DD" w:rsidP="00760A30">
            <w:pPr>
              <w:jc w:val="center"/>
              <w:rPr>
                <w:rFonts w:cstheme="minorHAnsi"/>
              </w:rPr>
            </w:pPr>
            <w:r>
              <w:rPr>
                <w:rFonts w:cstheme="minorHAnsi"/>
              </w:rPr>
              <w:t>6.89</w:t>
            </w:r>
          </w:p>
        </w:tc>
        <w:tc>
          <w:tcPr>
            <w:tcW w:w="586" w:type="pct"/>
          </w:tcPr>
          <w:p w14:paraId="689034FB" w14:textId="02D33FD7" w:rsidR="00691600" w:rsidRPr="00845F73" w:rsidRDefault="00FB1FF0" w:rsidP="00760A30">
            <w:pPr>
              <w:jc w:val="center"/>
              <w:rPr>
                <w:rFonts w:cstheme="minorHAnsi"/>
              </w:rPr>
            </w:pPr>
            <w:r>
              <w:rPr>
                <w:rFonts w:cstheme="minorHAnsi"/>
              </w:rPr>
              <w:t>0.53</w:t>
            </w:r>
          </w:p>
        </w:tc>
      </w:tr>
      <w:tr w:rsidR="00691600" w:rsidRPr="0086735D" w14:paraId="5FC97BA0" w14:textId="77777777" w:rsidTr="00760A30">
        <w:tc>
          <w:tcPr>
            <w:tcW w:w="1838" w:type="pct"/>
          </w:tcPr>
          <w:p w14:paraId="57DD2D81" w14:textId="77777777" w:rsidR="00691600" w:rsidRPr="00BF17B2" w:rsidRDefault="00691600" w:rsidP="00760A30">
            <w:r w:rsidRPr="00845F73">
              <w:rPr>
                <w:rFonts w:cstheme="minorHAnsi"/>
              </w:rPr>
              <w:t>Change in Trend, β</w:t>
            </w:r>
            <w:r w:rsidRPr="00845F73">
              <w:rPr>
                <w:rFonts w:cstheme="minorHAnsi"/>
                <w:vertAlign w:val="subscript"/>
              </w:rPr>
              <w:t>3</w:t>
            </w:r>
          </w:p>
        </w:tc>
        <w:tc>
          <w:tcPr>
            <w:tcW w:w="1589" w:type="pct"/>
          </w:tcPr>
          <w:p w14:paraId="5B27854E" w14:textId="436A5237" w:rsidR="00691600" w:rsidRPr="00845F73" w:rsidRDefault="00FB1FF0" w:rsidP="00760A30">
            <w:pPr>
              <w:jc w:val="center"/>
              <w:rPr>
                <w:rFonts w:cstheme="minorHAnsi"/>
              </w:rPr>
            </w:pPr>
            <w:r>
              <w:rPr>
                <w:rFonts w:cstheme="minorHAnsi"/>
              </w:rPr>
              <w:t xml:space="preserve">-3.30 (-4.64, </w:t>
            </w:r>
            <w:r w:rsidR="008D6B82">
              <w:rPr>
                <w:rFonts w:cstheme="minorHAnsi"/>
              </w:rPr>
              <w:t>-1.96)</w:t>
            </w:r>
          </w:p>
        </w:tc>
        <w:tc>
          <w:tcPr>
            <w:tcW w:w="987" w:type="pct"/>
          </w:tcPr>
          <w:p w14:paraId="1631DA34" w14:textId="3E57433A" w:rsidR="00691600" w:rsidRPr="00845F73" w:rsidRDefault="008D6B82" w:rsidP="00760A30">
            <w:pPr>
              <w:jc w:val="center"/>
              <w:rPr>
                <w:rFonts w:cstheme="minorHAnsi"/>
              </w:rPr>
            </w:pPr>
            <w:r>
              <w:rPr>
                <w:rFonts w:cstheme="minorHAnsi"/>
              </w:rPr>
              <w:t>0.66</w:t>
            </w:r>
          </w:p>
        </w:tc>
        <w:tc>
          <w:tcPr>
            <w:tcW w:w="586" w:type="pct"/>
          </w:tcPr>
          <w:p w14:paraId="118CC0B4" w14:textId="5178FE53" w:rsidR="00691600" w:rsidRPr="00845F73" w:rsidRDefault="008D6B82" w:rsidP="00760A30">
            <w:pPr>
              <w:jc w:val="center"/>
              <w:rPr>
                <w:rFonts w:cstheme="minorHAnsi"/>
              </w:rPr>
            </w:pPr>
            <w:r>
              <w:rPr>
                <w:rFonts w:cstheme="minorHAnsi"/>
              </w:rPr>
              <w:t>&lt;0.01</w:t>
            </w:r>
          </w:p>
        </w:tc>
      </w:tr>
      <w:tr w:rsidR="00691600" w:rsidRPr="0086735D" w14:paraId="0A5E431A" w14:textId="77777777" w:rsidTr="00760A30">
        <w:trPr>
          <w:cnfStyle w:val="000000100000" w:firstRow="0" w:lastRow="0" w:firstColumn="0" w:lastColumn="0" w:oddVBand="0" w:evenVBand="0" w:oddHBand="1" w:evenHBand="0" w:firstRowFirstColumn="0" w:firstRowLastColumn="0" w:lastRowFirstColumn="0" w:lastRowLastColumn="0"/>
        </w:trPr>
        <w:tc>
          <w:tcPr>
            <w:tcW w:w="1838" w:type="pct"/>
          </w:tcPr>
          <w:p w14:paraId="4F9898D8" w14:textId="77777777" w:rsidR="00691600" w:rsidRPr="00BF17B2" w:rsidRDefault="00691600" w:rsidP="00760A30">
            <w:r w:rsidRPr="00845F73">
              <w:rPr>
                <w:rFonts w:cstheme="minorHAnsi"/>
                <w:bCs/>
              </w:rPr>
              <w:t xml:space="preserve">Post-Intervention Trend, </w:t>
            </w:r>
            <w:r w:rsidRPr="00845F73">
              <w:rPr>
                <w:rFonts w:cstheme="minorHAnsi"/>
              </w:rPr>
              <w:t>β</w:t>
            </w:r>
            <w:r w:rsidRPr="00845F73">
              <w:rPr>
                <w:rFonts w:cstheme="minorHAnsi"/>
                <w:vertAlign w:val="subscript"/>
              </w:rPr>
              <w:t>1+3</w:t>
            </w:r>
          </w:p>
        </w:tc>
        <w:tc>
          <w:tcPr>
            <w:tcW w:w="1589" w:type="pct"/>
          </w:tcPr>
          <w:p w14:paraId="2C2C69A4" w14:textId="044388BA" w:rsidR="00691600" w:rsidRPr="00845F73" w:rsidRDefault="005B5C96" w:rsidP="00760A30">
            <w:pPr>
              <w:jc w:val="center"/>
              <w:rPr>
                <w:rFonts w:cstheme="minorHAnsi"/>
              </w:rPr>
            </w:pPr>
            <w:r>
              <w:rPr>
                <w:rFonts w:cstheme="minorHAnsi"/>
              </w:rPr>
              <w:t>-0.56 (</w:t>
            </w:r>
            <w:r w:rsidR="00AE287F">
              <w:rPr>
                <w:rFonts w:cstheme="minorHAnsi"/>
              </w:rPr>
              <w:t>-1.14, 0.01)</w:t>
            </w:r>
          </w:p>
        </w:tc>
        <w:tc>
          <w:tcPr>
            <w:tcW w:w="987" w:type="pct"/>
          </w:tcPr>
          <w:p w14:paraId="3EDD83E2" w14:textId="18168020" w:rsidR="00691600" w:rsidRPr="00845F73" w:rsidRDefault="00063C6E" w:rsidP="00760A30">
            <w:pPr>
              <w:jc w:val="center"/>
              <w:rPr>
                <w:rFonts w:cstheme="minorHAnsi"/>
              </w:rPr>
            </w:pPr>
            <w:r>
              <w:rPr>
                <w:rFonts w:cstheme="minorHAnsi"/>
              </w:rPr>
              <w:t>0.28</w:t>
            </w:r>
          </w:p>
        </w:tc>
        <w:tc>
          <w:tcPr>
            <w:tcW w:w="586" w:type="pct"/>
          </w:tcPr>
          <w:p w14:paraId="53193DA2" w14:textId="73A3D9CC" w:rsidR="00691600" w:rsidRPr="00845F73" w:rsidRDefault="00063C6E" w:rsidP="00760A30">
            <w:pPr>
              <w:jc w:val="center"/>
              <w:rPr>
                <w:rFonts w:cstheme="minorHAnsi"/>
              </w:rPr>
            </w:pPr>
            <w:r>
              <w:rPr>
                <w:rFonts w:cstheme="minorHAnsi"/>
              </w:rPr>
              <w:t>0.05</w:t>
            </w:r>
          </w:p>
        </w:tc>
      </w:tr>
      <w:tr w:rsidR="00691600" w:rsidRPr="0086735D" w14:paraId="58EB2A1A" w14:textId="77777777" w:rsidTr="00760A30">
        <w:tc>
          <w:tcPr>
            <w:tcW w:w="1838" w:type="pct"/>
          </w:tcPr>
          <w:p w14:paraId="5D40E85A" w14:textId="59F0389D" w:rsidR="00691600" w:rsidRPr="00BF17B2" w:rsidRDefault="00306736" w:rsidP="00760A30">
            <w:r w:rsidRPr="00845F73">
              <w:rPr>
                <w:rFonts w:cstheme="minorHAnsi"/>
                <w:bCs/>
              </w:rPr>
              <w:t xml:space="preserve">Relative </w:t>
            </w:r>
            <w:r>
              <w:rPr>
                <w:rFonts w:cstheme="minorHAnsi"/>
                <w:bCs/>
              </w:rPr>
              <w:t>Change</w:t>
            </w:r>
            <w:r w:rsidRPr="00845F73">
              <w:rPr>
                <w:rFonts w:cstheme="minorHAnsi"/>
                <w:bCs/>
              </w:rPr>
              <w:t>, %</w:t>
            </w:r>
            <w:r>
              <w:rPr>
                <w:rFonts w:cstheme="minorHAnsi"/>
                <w:bCs/>
                <w:vertAlign w:val="superscript"/>
              </w:rPr>
              <w:t>a</w:t>
            </w:r>
          </w:p>
        </w:tc>
        <w:tc>
          <w:tcPr>
            <w:tcW w:w="1589" w:type="pct"/>
          </w:tcPr>
          <w:p w14:paraId="1E1EAF78" w14:textId="47E67089" w:rsidR="00691600" w:rsidRPr="00845F73" w:rsidRDefault="002E1DB7" w:rsidP="00760A30">
            <w:pPr>
              <w:jc w:val="center"/>
              <w:rPr>
                <w:rFonts w:cstheme="minorHAnsi"/>
              </w:rPr>
            </w:pPr>
            <w:r>
              <w:rPr>
                <w:rFonts w:cstheme="minorHAnsi"/>
              </w:rPr>
              <w:t>-16.18 (</w:t>
            </w:r>
            <w:r w:rsidR="00B510D0">
              <w:rPr>
                <w:rFonts w:cstheme="minorHAnsi"/>
              </w:rPr>
              <w:t xml:space="preserve">-22.26, </w:t>
            </w:r>
            <w:r w:rsidR="00B21044">
              <w:rPr>
                <w:rFonts w:cstheme="minorHAnsi"/>
              </w:rPr>
              <w:t>-7.17)</w:t>
            </w:r>
          </w:p>
        </w:tc>
        <w:tc>
          <w:tcPr>
            <w:tcW w:w="987" w:type="pct"/>
          </w:tcPr>
          <w:p w14:paraId="1A3E6237" w14:textId="77777777" w:rsidR="00691600" w:rsidRPr="00845F73" w:rsidRDefault="00691600" w:rsidP="00760A30">
            <w:pPr>
              <w:jc w:val="center"/>
              <w:rPr>
                <w:rFonts w:cstheme="minorHAnsi"/>
              </w:rPr>
            </w:pPr>
            <w:r>
              <w:rPr>
                <w:rFonts w:cstheme="minorHAnsi"/>
              </w:rPr>
              <w:t>n/a</w:t>
            </w:r>
          </w:p>
        </w:tc>
        <w:tc>
          <w:tcPr>
            <w:tcW w:w="586" w:type="pct"/>
          </w:tcPr>
          <w:p w14:paraId="664AA6BA" w14:textId="77777777" w:rsidR="00691600" w:rsidRPr="00845F73" w:rsidRDefault="00691600" w:rsidP="00760A30">
            <w:pPr>
              <w:jc w:val="center"/>
              <w:rPr>
                <w:rFonts w:cstheme="minorHAnsi"/>
              </w:rPr>
            </w:pPr>
            <w:r>
              <w:rPr>
                <w:rFonts w:cstheme="minorHAnsi"/>
              </w:rPr>
              <w:t>n/a</w:t>
            </w:r>
          </w:p>
        </w:tc>
      </w:tr>
      <w:tr w:rsidR="00691600" w:rsidRPr="0086735D" w14:paraId="6BB3EEE4" w14:textId="77777777" w:rsidTr="00760A30">
        <w:trPr>
          <w:cnfStyle w:val="000000100000" w:firstRow="0" w:lastRow="0" w:firstColumn="0" w:lastColumn="0" w:oddVBand="0" w:evenVBand="0" w:oddHBand="1" w:evenHBand="0" w:firstRowFirstColumn="0" w:firstRowLastColumn="0" w:lastRowFirstColumn="0" w:lastRowLastColumn="0"/>
        </w:trPr>
        <w:tc>
          <w:tcPr>
            <w:tcW w:w="1838" w:type="pct"/>
          </w:tcPr>
          <w:p w14:paraId="50BAFCF0" w14:textId="77777777" w:rsidR="00691600" w:rsidRPr="00BF17B2" w:rsidRDefault="00691600" w:rsidP="00760A30">
            <w:r w:rsidRPr="00845F73">
              <w:rPr>
                <w:rFonts w:cstheme="minorHAnsi"/>
                <w:bCs/>
              </w:rPr>
              <w:t>Durbin-Watson Statistic</w:t>
            </w:r>
          </w:p>
        </w:tc>
        <w:tc>
          <w:tcPr>
            <w:tcW w:w="1589" w:type="pct"/>
          </w:tcPr>
          <w:p w14:paraId="308666B2" w14:textId="4A1F50A3" w:rsidR="00691600" w:rsidRPr="00845F73" w:rsidRDefault="00415EBE" w:rsidP="00760A30">
            <w:pPr>
              <w:jc w:val="center"/>
              <w:rPr>
                <w:rFonts w:cstheme="minorHAnsi"/>
              </w:rPr>
            </w:pPr>
            <w:r>
              <w:rPr>
                <w:rFonts w:cstheme="minorHAnsi"/>
              </w:rPr>
              <w:t>2.42</w:t>
            </w:r>
          </w:p>
        </w:tc>
        <w:tc>
          <w:tcPr>
            <w:tcW w:w="987" w:type="pct"/>
          </w:tcPr>
          <w:p w14:paraId="2F1E7688" w14:textId="77777777" w:rsidR="00691600" w:rsidRPr="00845F73" w:rsidRDefault="00691600" w:rsidP="00760A30">
            <w:pPr>
              <w:jc w:val="center"/>
              <w:rPr>
                <w:rFonts w:cstheme="minorHAnsi"/>
              </w:rPr>
            </w:pPr>
            <w:r>
              <w:rPr>
                <w:rFonts w:cstheme="minorHAnsi"/>
              </w:rPr>
              <w:t>n/a</w:t>
            </w:r>
          </w:p>
        </w:tc>
        <w:tc>
          <w:tcPr>
            <w:tcW w:w="586" w:type="pct"/>
          </w:tcPr>
          <w:p w14:paraId="3EB61E44" w14:textId="77777777" w:rsidR="00691600" w:rsidRPr="00845F73" w:rsidRDefault="00691600" w:rsidP="00760A30">
            <w:pPr>
              <w:jc w:val="center"/>
              <w:rPr>
                <w:rFonts w:cstheme="minorHAnsi"/>
              </w:rPr>
            </w:pPr>
            <w:r>
              <w:rPr>
                <w:rFonts w:cstheme="minorHAnsi"/>
              </w:rPr>
              <w:t>n/a</w:t>
            </w:r>
          </w:p>
        </w:tc>
      </w:tr>
      <w:tr w:rsidR="00691600" w:rsidRPr="0086735D" w14:paraId="735AEF6A" w14:textId="77777777" w:rsidTr="00760A30">
        <w:tc>
          <w:tcPr>
            <w:tcW w:w="5000" w:type="pct"/>
            <w:gridSpan w:val="4"/>
          </w:tcPr>
          <w:p w14:paraId="70E09903" w14:textId="77777777" w:rsidR="00691600" w:rsidRPr="00845F73" w:rsidRDefault="00691600" w:rsidP="00760A30">
            <w:pPr>
              <w:rPr>
                <w:rFonts w:cstheme="minorHAnsi"/>
              </w:rPr>
            </w:pPr>
            <w:r w:rsidRPr="00E122D3">
              <w:rPr>
                <w:b/>
                <w:bCs/>
              </w:rPr>
              <w:t>70+</w:t>
            </w:r>
          </w:p>
        </w:tc>
      </w:tr>
      <w:tr w:rsidR="00691600" w:rsidRPr="0086735D" w14:paraId="5974915E" w14:textId="77777777" w:rsidTr="00760A30">
        <w:trPr>
          <w:cnfStyle w:val="000000100000" w:firstRow="0" w:lastRow="0" w:firstColumn="0" w:lastColumn="0" w:oddVBand="0" w:evenVBand="0" w:oddHBand="1" w:evenHBand="0" w:firstRowFirstColumn="0" w:firstRowLastColumn="0" w:lastRowFirstColumn="0" w:lastRowLastColumn="0"/>
        </w:trPr>
        <w:tc>
          <w:tcPr>
            <w:tcW w:w="1838" w:type="pct"/>
          </w:tcPr>
          <w:p w14:paraId="029FA1EF" w14:textId="77777777" w:rsidR="00691600" w:rsidRPr="00BF17B2" w:rsidRDefault="00691600" w:rsidP="00760A30">
            <w:r w:rsidRPr="00845F73">
              <w:rPr>
                <w:rFonts w:cstheme="minorHAnsi"/>
              </w:rPr>
              <w:t>Intercept, β</w:t>
            </w:r>
            <w:r w:rsidRPr="00845F73">
              <w:rPr>
                <w:rFonts w:cstheme="minorHAnsi"/>
                <w:vertAlign w:val="subscript"/>
              </w:rPr>
              <w:t>0</w:t>
            </w:r>
          </w:p>
        </w:tc>
        <w:tc>
          <w:tcPr>
            <w:tcW w:w="1589" w:type="pct"/>
          </w:tcPr>
          <w:p w14:paraId="4113FB02" w14:textId="32AED264" w:rsidR="00691600" w:rsidRPr="00845F73" w:rsidRDefault="00A37196" w:rsidP="00760A30">
            <w:pPr>
              <w:jc w:val="center"/>
              <w:rPr>
                <w:rFonts w:cstheme="minorHAnsi"/>
              </w:rPr>
            </w:pPr>
            <w:r>
              <w:rPr>
                <w:rFonts w:cstheme="minorHAnsi"/>
              </w:rPr>
              <w:t>587.</w:t>
            </w:r>
            <w:r w:rsidR="0066674C">
              <w:rPr>
                <w:rFonts w:cstheme="minorHAnsi"/>
              </w:rPr>
              <w:t>73 (577.82, 597.65)</w:t>
            </w:r>
          </w:p>
        </w:tc>
        <w:tc>
          <w:tcPr>
            <w:tcW w:w="987" w:type="pct"/>
          </w:tcPr>
          <w:p w14:paraId="36914383" w14:textId="5679466C" w:rsidR="00691600" w:rsidRPr="00845F73" w:rsidRDefault="00403C40" w:rsidP="00760A30">
            <w:pPr>
              <w:jc w:val="center"/>
              <w:rPr>
                <w:rFonts w:cstheme="minorHAnsi"/>
              </w:rPr>
            </w:pPr>
            <w:r>
              <w:rPr>
                <w:rFonts w:cstheme="minorHAnsi"/>
              </w:rPr>
              <w:t>4.90</w:t>
            </w:r>
          </w:p>
        </w:tc>
        <w:tc>
          <w:tcPr>
            <w:tcW w:w="586" w:type="pct"/>
          </w:tcPr>
          <w:p w14:paraId="7DD7C384" w14:textId="7BD835ED" w:rsidR="00691600" w:rsidRPr="00845F73" w:rsidRDefault="00403C40" w:rsidP="00760A30">
            <w:pPr>
              <w:jc w:val="center"/>
              <w:rPr>
                <w:rFonts w:cstheme="minorHAnsi"/>
              </w:rPr>
            </w:pPr>
            <w:r>
              <w:rPr>
                <w:rFonts w:cstheme="minorHAnsi"/>
              </w:rPr>
              <w:t>&lt;0.01</w:t>
            </w:r>
          </w:p>
        </w:tc>
      </w:tr>
      <w:tr w:rsidR="00691600" w:rsidRPr="0086735D" w14:paraId="25884D7E" w14:textId="77777777" w:rsidTr="00760A30">
        <w:tc>
          <w:tcPr>
            <w:tcW w:w="1838" w:type="pct"/>
          </w:tcPr>
          <w:p w14:paraId="67F9AB12" w14:textId="77777777" w:rsidR="00691600" w:rsidRPr="00BF17B2" w:rsidRDefault="00691600" w:rsidP="00760A30">
            <w:r w:rsidRPr="00845F73">
              <w:rPr>
                <w:rFonts w:cstheme="minorHAnsi"/>
              </w:rPr>
              <w:t>Pre-Intervention Trend, β</w:t>
            </w:r>
            <w:r w:rsidRPr="00845F73">
              <w:rPr>
                <w:rFonts w:cstheme="minorHAnsi"/>
                <w:vertAlign w:val="subscript"/>
              </w:rPr>
              <w:t>1</w:t>
            </w:r>
          </w:p>
        </w:tc>
        <w:tc>
          <w:tcPr>
            <w:tcW w:w="1589" w:type="pct"/>
          </w:tcPr>
          <w:p w14:paraId="7024CF44" w14:textId="4D689110" w:rsidR="00691600" w:rsidRPr="00845F73" w:rsidRDefault="000E4929" w:rsidP="00760A30">
            <w:pPr>
              <w:jc w:val="center"/>
              <w:rPr>
                <w:rFonts w:cstheme="minorHAnsi"/>
              </w:rPr>
            </w:pPr>
            <w:r>
              <w:rPr>
                <w:rFonts w:cstheme="minorHAnsi"/>
              </w:rPr>
              <w:t>0.70 (-0.33, 1.72)</w:t>
            </w:r>
          </w:p>
        </w:tc>
        <w:tc>
          <w:tcPr>
            <w:tcW w:w="987" w:type="pct"/>
          </w:tcPr>
          <w:p w14:paraId="4F305BF6" w14:textId="4DF47A90" w:rsidR="00691600" w:rsidRPr="00845F73" w:rsidRDefault="003602F6" w:rsidP="00760A30">
            <w:pPr>
              <w:jc w:val="center"/>
              <w:rPr>
                <w:rFonts w:cstheme="minorHAnsi"/>
              </w:rPr>
            </w:pPr>
            <w:r>
              <w:rPr>
                <w:rFonts w:cstheme="minorHAnsi"/>
              </w:rPr>
              <w:t>0.51</w:t>
            </w:r>
          </w:p>
        </w:tc>
        <w:tc>
          <w:tcPr>
            <w:tcW w:w="586" w:type="pct"/>
          </w:tcPr>
          <w:p w14:paraId="0D44DABD" w14:textId="32F79590" w:rsidR="00691600" w:rsidRPr="00845F73" w:rsidRDefault="003602F6" w:rsidP="00760A30">
            <w:pPr>
              <w:jc w:val="center"/>
              <w:rPr>
                <w:rFonts w:cstheme="minorHAnsi"/>
              </w:rPr>
            </w:pPr>
            <w:r>
              <w:rPr>
                <w:rFonts w:cstheme="minorHAnsi"/>
              </w:rPr>
              <w:t>0.18</w:t>
            </w:r>
          </w:p>
        </w:tc>
      </w:tr>
      <w:tr w:rsidR="00691600" w:rsidRPr="0086735D" w14:paraId="26E0F187" w14:textId="77777777" w:rsidTr="00760A30">
        <w:trPr>
          <w:cnfStyle w:val="000000100000" w:firstRow="0" w:lastRow="0" w:firstColumn="0" w:lastColumn="0" w:oddVBand="0" w:evenVBand="0" w:oddHBand="1" w:evenHBand="0" w:firstRowFirstColumn="0" w:firstRowLastColumn="0" w:lastRowFirstColumn="0" w:lastRowLastColumn="0"/>
        </w:trPr>
        <w:tc>
          <w:tcPr>
            <w:tcW w:w="1838" w:type="pct"/>
            <w:vAlign w:val="center"/>
          </w:tcPr>
          <w:p w14:paraId="7911A387" w14:textId="77777777" w:rsidR="00691600" w:rsidRPr="00BF17B2" w:rsidRDefault="00691600" w:rsidP="00760A30">
            <w:r w:rsidRPr="00845F73">
              <w:rPr>
                <w:rFonts w:cstheme="minorHAnsi"/>
              </w:rPr>
              <w:t>Change in Level, β</w:t>
            </w:r>
            <w:r w:rsidRPr="00845F73">
              <w:rPr>
                <w:rFonts w:cstheme="minorHAnsi"/>
                <w:vertAlign w:val="subscript"/>
              </w:rPr>
              <w:t>2</w:t>
            </w:r>
          </w:p>
        </w:tc>
        <w:tc>
          <w:tcPr>
            <w:tcW w:w="1589" w:type="pct"/>
          </w:tcPr>
          <w:p w14:paraId="34BB5A32" w14:textId="08951077" w:rsidR="00691600" w:rsidRPr="00845F73" w:rsidRDefault="009D3A3D" w:rsidP="00760A30">
            <w:pPr>
              <w:jc w:val="center"/>
              <w:rPr>
                <w:rFonts w:cstheme="minorHAnsi"/>
              </w:rPr>
            </w:pPr>
            <w:r>
              <w:rPr>
                <w:rFonts w:cstheme="minorHAnsi"/>
              </w:rPr>
              <w:t>13.65 (1.83, 25.48)</w:t>
            </w:r>
          </w:p>
        </w:tc>
        <w:tc>
          <w:tcPr>
            <w:tcW w:w="987" w:type="pct"/>
          </w:tcPr>
          <w:p w14:paraId="127FF63A" w14:textId="7AEF5744" w:rsidR="00691600" w:rsidRPr="00845F73" w:rsidRDefault="006F39B5" w:rsidP="00760A30">
            <w:pPr>
              <w:jc w:val="center"/>
              <w:rPr>
                <w:rFonts w:cstheme="minorHAnsi"/>
              </w:rPr>
            </w:pPr>
            <w:r>
              <w:rPr>
                <w:rFonts w:cstheme="minorHAnsi"/>
              </w:rPr>
              <w:t>5.84</w:t>
            </w:r>
          </w:p>
        </w:tc>
        <w:tc>
          <w:tcPr>
            <w:tcW w:w="586" w:type="pct"/>
          </w:tcPr>
          <w:p w14:paraId="5215BC2D" w14:textId="7C93C711" w:rsidR="00691600" w:rsidRPr="00845F73" w:rsidRDefault="006F39B5" w:rsidP="00760A30">
            <w:pPr>
              <w:jc w:val="center"/>
              <w:rPr>
                <w:rFonts w:cstheme="minorHAnsi"/>
              </w:rPr>
            </w:pPr>
            <w:r>
              <w:rPr>
                <w:rFonts w:cstheme="minorHAnsi"/>
              </w:rPr>
              <w:t>0.02</w:t>
            </w:r>
          </w:p>
        </w:tc>
      </w:tr>
      <w:tr w:rsidR="00691600" w:rsidRPr="0086735D" w14:paraId="22DCFACA" w14:textId="77777777" w:rsidTr="00760A30">
        <w:tc>
          <w:tcPr>
            <w:tcW w:w="1838" w:type="pct"/>
          </w:tcPr>
          <w:p w14:paraId="1E9E8017" w14:textId="77777777" w:rsidR="00691600" w:rsidRPr="00BF17B2" w:rsidRDefault="00691600" w:rsidP="00760A30">
            <w:r w:rsidRPr="00845F73">
              <w:rPr>
                <w:rFonts w:cstheme="minorHAnsi"/>
              </w:rPr>
              <w:t>Change in Trend, β</w:t>
            </w:r>
            <w:r w:rsidRPr="00845F73">
              <w:rPr>
                <w:rFonts w:cstheme="minorHAnsi"/>
                <w:vertAlign w:val="subscript"/>
              </w:rPr>
              <w:t>3</w:t>
            </w:r>
          </w:p>
        </w:tc>
        <w:tc>
          <w:tcPr>
            <w:tcW w:w="1589" w:type="pct"/>
          </w:tcPr>
          <w:p w14:paraId="41A4C719" w14:textId="4EA87BC3" w:rsidR="00691600" w:rsidRPr="00845F73" w:rsidRDefault="00494597" w:rsidP="00760A30">
            <w:pPr>
              <w:jc w:val="center"/>
              <w:rPr>
                <w:rFonts w:cstheme="minorHAnsi"/>
              </w:rPr>
            </w:pPr>
            <w:r>
              <w:rPr>
                <w:rFonts w:cstheme="minorHAnsi"/>
              </w:rPr>
              <w:t xml:space="preserve">-3.33 (-4.47, </w:t>
            </w:r>
            <w:r w:rsidR="00FD6536">
              <w:rPr>
                <w:rFonts w:cstheme="minorHAnsi"/>
              </w:rPr>
              <w:t>-2.19)</w:t>
            </w:r>
          </w:p>
        </w:tc>
        <w:tc>
          <w:tcPr>
            <w:tcW w:w="987" w:type="pct"/>
          </w:tcPr>
          <w:p w14:paraId="6976F4A1" w14:textId="4FF29E23" w:rsidR="00691600" w:rsidRPr="00845F73" w:rsidRDefault="00FD6536" w:rsidP="00760A30">
            <w:pPr>
              <w:jc w:val="center"/>
              <w:rPr>
                <w:rFonts w:cstheme="minorHAnsi"/>
              </w:rPr>
            </w:pPr>
            <w:r>
              <w:rPr>
                <w:rFonts w:cstheme="minorHAnsi"/>
              </w:rPr>
              <w:t>0.56</w:t>
            </w:r>
          </w:p>
        </w:tc>
        <w:tc>
          <w:tcPr>
            <w:tcW w:w="586" w:type="pct"/>
          </w:tcPr>
          <w:p w14:paraId="1393A992" w14:textId="503244BF" w:rsidR="00691600" w:rsidRPr="00845F73" w:rsidRDefault="00FD6536" w:rsidP="00760A30">
            <w:pPr>
              <w:jc w:val="center"/>
              <w:rPr>
                <w:rFonts w:cstheme="minorHAnsi"/>
              </w:rPr>
            </w:pPr>
            <w:r>
              <w:rPr>
                <w:rFonts w:cstheme="minorHAnsi"/>
              </w:rPr>
              <w:t>&lt;0.01</w:t>
            </w:r>
          </w:p>
        </w:tc>
      </w:tr>
      <w:tr w:rsidR="00691600" w:rsidRPr="0086735D" w14:paraId="55AE559E" w14:textId="77777777" w:rsidTr="00760A30">
        <w:trPr>
          <w:cnfStyle w:val="000000100000" w:firstRow="0" w:lastRow="0" w:firstColumn="0" w:lastColumn="0" w:oddVBand="0" w:evenVBand="0" w:oddHBand="1" w:evenHBand="0" w:firstRowFirstColumn="0" w:firstRowLastColumn="0" w:lastRowFirstColumn="0" w:lastRowLastColumn="0"/>
        </w:trPr>
        <w:tc>
          <w:tcPr>
            <w:tcW w:w="1838" w:type="pct"/>
          </w:tcPr>
          <w:p w14:paraId="128DEC6E" w14:textId="77777777" w:rsidR="00691600" w:rsidRPr="00BF17B2" w:rsidRDefault="00691600" w:rsidP="00760A30">
            <w:r w:rsidRPr="00845F73">
              <w:rPr>
                <w:rFonts w:cstheme="minorHAnsi"/>
                <w:bCs/>
              </w:rPr>
              <w:t xml:space="preserve">Post-Intervention Trend, </w:t>
            </w:r>
            <w:r w:rsidRPr="00845F73">
              <w:rPr>
                <w:rFonts w:cstheme="minorHAnsi"/>
              </w:rPr>
              <w:t>β</w:t>
            </w:r>
            <w:r w:rsidRPr="00845F73">
              <w:rPr>
                <w:rFonts w:cstheme="minorHAnsi"/>
                <w:vertAlign w:val="subscript"/>
              </w:rPr>
              <w:t>1+3</w:t>
            </w:r>
          </w:p>
        </w:tc>
        <w:tc>
          <w:tcPr>
            <w:tcW w:w="1589" w:type="pct"/>
          </w:tcPr>
          <w:p w14:paraId="69B3F1A7" w14:textId="15D385BB" w:rsidR="00691600" w:rsidRPr="00845F73" w:rsidRDefault="003301F1" w:rsidP="00760A30">
            <w:pPr>
              <w:jc w:val="center"/>
              <w:rPr>
                <w:rFonts w:cstheme="minorHAnsi"/>
              </w:rPr>
            </w:pPr>
            <w:r>
              <w:rPr>
                <w:rFonts w:cstheme="minorHAnsi"/>
              </w:rPr>
              <w:t>-2.63 (</w:t>
            </w:r>
            <w:r w:rsidR="009220EB">
              <w:rPr>
                <w:rFonts w:cstheme="minorHAnsi"/>
                <w:bCs/>
              </w:rPr>
              <w:t>-3.16, -2.10)</w:t>
            </w:r>
          </w:p>
        </w:tc>
        <w:tc>
          <w:tcPr>
            <w:tcW w:w="987" w:type="pct"/>
          </w:tcPr>
          <w:p w14:paraId="374A8EA0" w14:textId="40F9E331" w:rsidR="00691600" w:rsidRPr="00845F73" w:rsidRDefault="009220EB" w:rsidP="00760A30">
            <w:pPr>
              <w:jc w:val="center"/>
              <w:rPr>
                <w:rFonts w:cstheme="minorHAnsi"/>
              </w:rPr>
            </w:pPr>
            <w:r>
              <w:rPr>
                <w:rFonts w:cstheme="minorHAnsi"/>
              </w:rPr>
              <w:t>0.26</w:t>
            </w:r>
          </w:p>
        </w:tc>
        <w:tc>
          <w:tcPr>
            <w:tcW w:w="586" w:type="pct"/>
          </w:tcPr>
          <w:p w14:paraId="424E6CBD" w14:textId="3AD2C649" w:rsidR="00691600" w:rsidRPr="00845F73" w:rsidRDefault="00F12ECA" w:rsidP="00760A30">
            <w:pPr>
              <w:jc w:val="center"/>
              <w:rPr>
                <w:rFonts w:cstheme="minorHAnsi"/>
              </w:rPr>
            </w:pPr>
            <w:r>
              <w:rPr>
                <w:rFonts w:cstheme="minorHAnsi"/>
              </w:rPr>
              <w:t>&lt;0.01</w:t>
            </w:r>
          </w:p>
        </w:tc>
      </w:tr>
      <w:tr w:rsidR="00691600" w:rsidRPr="0086735D" w14:paraId="06E6D716" w14:textId="77777777" w:rsidTr="00760A30">
        <w:tc>
          <w:tcPr>
            <w:tcW w:w="1838" w:type="pct"/>
          </w:tcPr>
          <w:p w14:paraId="1C1768C4" w14:textId="2136A5E5" w:rsidR="00691600" w:rsidRPr="00BF17B2" w:rsidRDefault="00306736" w:rsidP="00760A30">
            <w:r w:rsidRPr="00845F73">
              <w:rPr>
                <w:rFonts w:cstheme="minorHAnsi"/>
                <w:bCs/>
              </w:rPr>
              <w:t xml:space="preserve">Relative </w:t>
            </w:r>
            <w:r>
              <w:rPr>
                <w:rFonts w:cstheme="minorHAnsi"/>
                <w:bCs/>
              </w:rPr>
              <w:t>Change</w:t>
            </w:r>
            <w:r w:rsidRPr="00845F73">
              <w:rPr>
                <w:rFonts w:cstheme="minorHAnsi"/>
                <w:bCs/>
              </w:rPr>
              <w:t>, %</w:t>
            </w:r>
            <w:r>
              <w:rPr>
                <w:rFonts w:cstheme="minorHAnsi"/>
                <w:bCs/>
                <w:vertAlign w:val="superscript"/>
              </w:rPr>
              <w:t>a</w:t>
            </w:r>
          </w:p>
        </w:tc>
        <w:tc>
          <w:tcPr>
            <w:tcW w:w="1589" w:type="pct"/>
          </w:tcPr>
          <w:p w14:paraId="491ADCED" w14:textId="7051FB02" w:rsidR="00691600" w:rsidRPr="00845F73" w:rsidRDefault="000903EF" w:rsidP="00760A30">
            <w:pPr>
              <w:jc w:val="center"/>
              <w:rPr>
                <w:rFonts w:cstheme="minorHAnsi"/>
              </w:rPr>
            </w:pPr>
            <w:r>
              <w:rPr>
                <w:rFonts w:cstheme="minorHAnsi"/>
              </w:rPr>
              <w:t>-11.81 (</w:t>
            </w:r>
            <w:r w:rsidR="00884B5E">
              <w:rPr>
                <w:rFonts w:cstheme="minorHAnsi"/>
              </w:rPr>
              <w:t xml:space="preserve">-15.97, </w:t>
            </w:r>
            <w:r w:rsidR="00957B1A">
              <w:rPr>
                <w:rFonts w:cstheme="minorHAnsi"/>
              </w:rPr>
              <w:t>-6.14)</w:t>
            </w:r>
          </w:p>
        </w:tc>
        <w:tc>
          <w:tcPr>
            <w:tcW w:w="987" w:type="pct"/>
          </w:tcPr>
          <w:p w14:paraId="269A5301" w14:textId="77777777" w:rsidR="00691600" w:rsidRPr="00845F73" w:rsidRDefault="00691600" w:rsidP="00760A30">
            <w:pPr>
              <w:jc w:val="center"/>
              <w:rPr>
                <w:rFonts w:cstheme="minorHAnsi"/>
              </w:rPr>
            </w:pPr>
            <w:r>
              <w:rPr>
                <w:rFonts w:cstheme="minorHAnsi"/>
              </w:rPr>
              <w:t>n/a</w:t>
            </w:r>
          </w:p>
        </w:tc>
        <w:tc>
          <w:tcPr>
            <w:tcW w:w="586" w:type="pct"/>
          </w:tcPr>
          <w:p w14:paraId="096F1E37" w14:textId="77777777" w:rsidR="00691600" w:rsidRPr="00845F73" w:rsidRDefault="00691600" w:rsidP="00760A30">
            <w:pPr>
              <w:jc w:val="center"/>
              <w:rPr>
                <w:rFonts w:cstheme="minorHAnsi"/>
              </w:rPr>
            </w:pPr>
            <w:r>
              <w:rPr>
                <w:rFonts w:cstheme="minorHAnsi"/>
              </w:rPr>
              <w:t>n/a</w:t>
            </w:r>
          </w:p>
        </w:tc>
      </w:tr>
      <w:tr w:rsidR="00691600" w:rsidRPr="0086735D" w14:paraId="03D209CB" w14:textId="77777777" w:rsidTr="00760A30">
        <w:trPr>
          <w:cnfStyle w:val="000000100000" w:firstRow="0" w:lastRow="0" w:firstColumn="0" w:lastColumn="0" w:oddVBand="0" w:evenVBand="0" w:oddHBand="1" w:evenHBand="0" w:firstRowFirstColumn="0" w:firstRowLastColumn="0" w:lastRowFirstColumn="0" w:lastRowLastColumn="0"/>
        </w:trPr>
        <w:tc>
          <w:tcPr>
            <w:tcW w:w="1838" w:type="pct"/>
          </w:tcPr>
          <w:p w14:paraId="60D615D2" w14:textId="77777777" w:rsidR="00691600" w:rsidRPr="00BF17B2" w:rsidRDefault="00691600" w:rsidP="00760A30">
            <w:r w:rsidRPr="00845F73">
              <w:rPr>
                <w:rFonts w:cstheme="minorHAnsi"/>
                <w:bCs/>
              </w:rPr>
              <w:t>Durbin-Watson Statistic</w:t>
            </w:r>
          </w:p>
        </w:tc>
        <w:tc>
          <w:tcPr>
            <w:tcW w:w="1589" w:type="pct"/>
          </w:tcPr>
          <w:p w14:paraId="10100749" w14:textId="53DB8DC8" w:rsidR="00691600" w:rsidRPr="00845F73" w:rsidRDefault="00B50CB2" w:rsidP="00760A30">
            <w:pPr>
              <w:jc w:val="center"/>
              <w:rPr>
                <w:rFonts w:cstheme="minorHAnsi"/>
              </w:rPr>
            </w:pPr>
            <w:r>
              <w:rPr>
                <w:rFonts w:cstheme="minorHAnsi"/>
              </w:rPr>
              <w:t>2.44</w:t>
            </w:r>
          </w:p>
        </w:tc>
        <w:tc>
          <w:tcPr>
            <w:tcW w:w="987" w:type="pct"/>
          </w:tcPr>
          <w:p w14:paraId="51F447DF" w14:textId="77777777" w:rsidR="00691600" w:rsidRPr="00845F73" w:rsidRDefault="00691600" w:rsidP="00760A30">
            <w:pPr>
              <w:jc w:val="center"/>
              <w:rPr>
                <w:rFonts w:cstheme="minorHAnsi"/>
              </w:rPr>
            </w:pPr>
            <w:r>
              <w:rPr>
                <w:rFonts w:cstheme="minorHAnsi"/>
              </w:rPr>
              <w:t>n/a</w:t>
            </w:r>
          </w:p>
        </w:tc>
        <w:tc>
          <w:tcPr>
            <w:tcW w:w="586" w:type="pct"/>
          </w:tcPr>
          <w:p w14:paraId="23761360" w14:textId="77777777" w:rsidR="00691600" w:rsidRPr="00845F73" w:rsidRDefault="00691600" w:rsidP="00760A30">
            <w:pPr>
              <w:jc w:val="center"/>
              <w:rPr>
                <w:rFonts w:cstheme="minorHAnsi"/>
              </w:rPr>
            </w:pPr>
            <w:r>
              <w:rPr>
                <w:rFonts w:cstheme="minorHAnsi"/>
              </w:rPr>
              <w:t>n/a</w:t>
            </w:r>
          </w:p>
        </w:tc>
      </w:tr>
    </w:tbl>
    <w:p w14:paraId="2BCE61E7" w14:textId="77777777" w:rsidR="00691600" w:rsidRDefault="00691600" w:rsidP="00691600">
      <w:pPr>
        <w:spacing w:after="0"/>
        <w:rPr>
          <w:rFonts w:ascii="Arial" w:hAnsi="Arial" w:cs="Arial"/>
          <w:sz w:val="24"/>
          <w:szCs w:val="24"/>
        </w:rPr>
      </w:pPr>
      <w:r w:rsidRPr="00291577">
        <w:rPr>
          <w:rFonts w:ascii="Arial" w:hAnsi="Arial" w:cs="Arial"/>
          <w:sz w:val="24"/>
          <w:szCs w:val="24"/>
        </w:rPr>
        <w:t>β</w:t>
      </w:r>
      <w:r w:rsidRPr="00291577">
        <w:rPr>
          <w:rFonts w:ascii="Arial" w:hAnsi="Arial" w:cs="Arial"/>
          <w:sz w:val="24"/>
          <w:szCs w:val="24"/>
          <w:vertAlign w:val="subscript"/>
        </w:rPr>
        <w:t>0-3</w:t>
      </w:r>
      <w:r>
        <w:rPr>
          <w:rFonts w:ascii="Arial" w:hAnsi="Arial" w:cs="Arial"/>
          <w:sz w:val="24"/>
          <w:szCs w:val="24"/>
        </w:rPr>
        <w:t xml:space="preserve"> are coefficients from the single-group interrupted time series analysis model; the intercept represents the outcome at the start of the study period; the relative change is calculated compared to the predicted value at the same time point had the pre-intervention trend continued.    </w:t>
      </w:r>
      <w:r w:rsidRPr="0086735D">
        <w:rPr>
          <w:rFonts w:ascii="Arial" w:hAnsi="Arial" w:cs="Arial"/>
          <w:sz w:val="24"/>
          <w:szCs w:val="24"/>
        </w:rPr>
        <w:t xml:space="preserve"> </w:t>
      </w:r>
    </w:p>
    <w:p w14:paraId="04BD61AD" w14:textId="77777777" w:rsidR="00C4035E" w:rsidRDefault="00691600" w:rsidP="00691600">
      <w:pPr>
        <w:spacing w:after="0"/>
        <w:rPr>
          <w:rFonts w:ascii="Arial" w:hAnsi="Arial" w:cs="Arial"/>
          <w:sz w:val="24"/>
          <w:szCs w:val="24"/>
        </w:rPr>
        <w:sectPr w:rsidR="00C4035E" w:rsidSect="003D0DFC">
          <w:pgSz w:w="11906" w:h="16838"/>
          <w:pgMar w:top="1440" w:right="1440" w:bottom="1440" w:left="1440" w:header="708" w:footer="708" w:gutter="0"/>
          <w:cols w:space="708"/>
          <w:docGrid w:linePitch="360"/>
        </w:sectPr>
      </w:pPr>
      <w:proofErr w:type="spellStart"/>
      <w:r w:rsidRPr="00460693">
        <w:rPr>
          <w:rFonts w:ascii="Arial" w:hAnsi="Arial" w:cs="Arial"/>
          <w:sz w:val="24"/>
          <w:szCs w:val="24"/>
          <w:vertAlign w:val="superscript"/>
        </w:rPr>
        <w:t>a</w:t>
      </w:r>
      <w:r>
        <w:rPr>
          <w:rFonts w:ascii="Arial" w:hAnsi="Arial" w:cs="Arial"/>
          <w:sz w:val="24"/>
          <w:szCs w:val="24"/>
        </w:rPr>
        <w:t>Calculated</w:t>
      </w:r>
      <w:proofErr w:type="spellEnd"/>
      <w:r>
        <w:rPr>
          <w:rFonts w:ascii="Arial" w:hAnsi="Arial" w:cs="Arial"/>
          <w:sz w:val="24"/>
          <w:szCs w:val="24"/>
        </w:rPr>
        <w:t xml:space="preserve"> at quarter 2 2020. </w:t>
      </w:r>
      <w:r w:rsidRPr="0086735D">
        <w:rPr>
          <w:rFonts w:ascii="Arial" w:hAnsi="Arial" w:cs="Arial"/>
          <w:sz w:val="24"/>
          <w:szCs w:val="24"/>
        </w:rPr>
        <w:t xml:space="preserve">95% </w:t>
      </w:r>
      <w:r>
        <w:rPr>
          <w:rFonts w:ascii="Arial" w:hAnsi="Arial" w:cs="Arial"/>
          <w:sz w:val="24"/>
          <w:szCs w:val="24"/>
        </w:rPr>
        <w:t>c</w:t>
      </w:r>
      <w:r w:rsidRPr="0086735D">
        <w:rPr>
          <w:rFonts w:ascii="Arial" w:hAnsi="Arial" w:cs="Arial"/>
          <w:sz w:val="24"/>
          <w:szCs w:val="24"/>
        </w:rPr>
        <w:t xml:space="preserve">onfidence </w:t>
      </w:r>
      <w:r>
        <w:rPr>
          <w:rFonts w:ascii="Arial" w:hAnsi="Arial" w:cs="Arial"/>
          <w:sz w:val="24"/>
          <w:szCs w:val="24"/>
        </w:rPr>
        <w:t>i</w:t>
      </w:r>
      <w:r w:rsidRPr="0086735D">
        <w:rPr>
          <w:rFonts w:ascii="Arial" w:hAnsi="Arial" w:cs="Arial"/>
          <w:sz w:val="24"/>
          <w:szCs w:val="24"/>
        </w:rPr>
        <w:t xml:space="preserve">nterval calculated using model bootstrapping </w:t>
      </w:r>
    </w:p>
    <w:p w14:paraId="278E9464" w14:textId="77777777" w:rsidR="00691600" w:rsidRDefault="00691600" w:rsidP="00691600">
      <w:pPr>
        <w:spacing w:after="0"/>
        <w:rPr>
          <w:rFonts w:ascii="Arial" w:hAnsi="Arial" w:cs="Arial"/>
          <w:sz w:val="24"/>
          <w:szCs w:val="24"/>
        </w:rPr>
      </w:pPr>
    </w:p>
    <w:p w14:paraId="7881D1A1" w14:textId="30E77EC0" w:rsidR="003D0DFC" w:rsidRDefault="003D0DFC" w:rsidP="0045084C"/>
    <w:p w14:paraId="138AD379" w14:textId="77777777" w:rsidR="00DE3DBF" w:rsidRDefault="00DE3DBF" w:rsidP="0045084C"/>
    <w:p w14:paraId="4F4D569C" w14:textId="77777777" w:rsidR="00DE3DBF" w:rsidRDefault="00DE3DBF" w:rsidP="0045084C"/>
    <w:p w14:paraId="61A2A2A7" w14:textId="77777777" w:rsidR="00DE3DBF" w:rsidRDefault="00DE3DBF" w:rsidP="0045084C"/>
    <w:p w14:paraId="30E94DD4" w14:textId="77777777" w:rsidR="00DE3DBF" w:rsidRDefault="00DE3DBF" w:rsidP="0045084C"/>
    <w:p w14:paraId="30C3CAE8" w14:textId="77777777" w:rsidR="00DE3DBF" w:rsidRDefault="00DE3DBF" w:rsidP="0045084C"/>
    <w:p w14:paraId="15E4A283" w14:textId="77777777" w:rsidR="00DE3DBF" w:rsidRDefault="00DE3DBF" w:rsidP="0045084C"/>
    <w:p w14:paraId="1C97D034" w14:textId="77777777" w:rsidR="00DE3DBF" w:rsidRDefault="00DE3DBF" w:rsidP="0045084C"/>
    <w:p w14:paraId="369DDFD1" w14:textId="77777777" w:rsidR="00DE3DBF" w:rsidRDefault="00DE3DBF" w:rsidP="0045084C"/>
    <w:p w14:paraId="5990A27A" w14:textId="77777777" w:rsidR="00DE3DBF" w:rsidRDefault="00DE3DBF" w:rsidP="0045084C"/>
    <w:p w14:paraId="0E85EC53" w14:textId="77777777" w:rsidR="00DE3DBF" w:rsidRDefault="00DE3DBF" w:rsidP="0045084C"/>
    <w:p w14:paraId="0BCC1348" w14:textId="77777777" w:rsidR="00DE3DBF" w:rsidRDefault="00DE3DBF" w:rsidP="0045084C"/>
    <w:p w14:paraId="089776E0" w14:textId="77777777" w:rsidR="00DE3DBF" w:rsidRDefault="00DE3DBF" w:rsidP="0045084C"/>
    <w:p w14:paraId="71B6B28A" w14:textId="77777777" w:rsidR="00DE3DBF" w:rsidRDefault="00DE3DBF" w:rsidP="0045084C"/>
    <w:p w14:paraId="6DE32E8A" w14:textId="77777777" w:rsidR="00DE3DBF" w:rsidRDefault="00DE3DBF" w:rsidP="0045084C"/>
    <w:p w14:paraId="4562CCE3" w14:textId="77777777" w:rsidR="00DE3DBF" w:rsidRDefault="00DE3DBF" w:rsidP="0045084C"/>
    <w:p w14:paraId="0FDF6CE6" w14:textId="77777777" w:rsidR="00DE3DBF" w:rsidRDefault="00DE3DBF" w:rsidP="0045084C"/>
    <w:p w14:paraId="79332A25" w14:textId="77777777" w:rsidR="00DE3DBF" w:rsidRDefault="00DE3DBF" w:rsidP="0045084C"/>
    <w:p w14:paraId="0C32B075" w14:textId="77777777" w:rsidR="00531934" w:rsidRDefault="00531934" w:rsidP="0045084C">
      <w:pPr>
        <w:sectPr w:rsidR="00531934" w:rsidSect="00CB32C9">
          <w:pgSz w:w="11906" w:h="16838"/>
          <w:pgMar w:top="1440" w:right="1440" w:bottom="1440" w:left="1440" w:header="708" w:footer="708" w:gutter="0"/>
          <w:cols w:space="708"/>
          <w:docGrid w:linePitch="360"/>
        </w:sectPr>
      </w:pPr>
    </w:p>
    <w:p w14:paraId="4B3BEA9F" w14:textId="7033998D" w:rsidR="00B12E9E" w:rsidRDefault="00B12E9E" w:rsidP="00B12E9E">
      <w:pPr>
        <w:pStyle w:val="Heading1"/>
        <w:jc w:val="left"/>
      </w:pPr>
      <w:bookmarkStart w:id="22" w:name="_Toc114677343"/>
      <w:r w:rsidRPr="003A1967">
        <w:rPr>
          <w:b/>
          <w:bCs/>
        </w:rPr>
        <w:lastRenderedPageBreak/>
        <w:t xml:space="preserve">Supplementary </w:t>
      </w:r>
      <w:r>
        <w:rPr>
          <w:b/>
          <w:bCs/>
        </w:rPr>
        <w:t>Figure</w:t>
      </w:r>
      <w:r w:rsidRPr="003A1967">
        <w:rPr>
          <w:b/>
          <w:bCs/>
        </w:rPr>
        <w:t xml:space="preserve"> S</w:t>
      </w:r>
      <w:r w:rsidR="00C30E5A">
        <w:rPr>
          <w:b/>
          <w:bCs/>
        </w:rPr>
        <w:t>1</w:t>
      </w:r>
      <w:r w:rsidRPr="003A1967">
        <w:rPr>
          <w:b/>
          <w:bCs/>
        </w:rPr>
        <w:t>.</w:t>
      </w:r>
      <w:r>
        <w:t xml:space="preserve"> </w:t>
      </w:r>
      <w:r w:rsidR="00D53F9A">
        <w:t>Opioid p</w:t>
      </w:r>
      <w:r>
        <w:t xml:space="preserve">rescribing </w:t>
      </w:r>
      <w:r w:rsidR="00F66EB5">
        <w:t>time series</w:t>
      </w:r>
      <w:r>
        <w:t xml:space="preserve"> across Scotland</w:t>
      </w:r>
      <w:r w:rsidR="00D53F9A">
        <w:t xml:space="preserve"> by gender</w:t>
      </w:r>
      <w:r w:rsidR="005715E4">
        <w:t>,</w:t>
      </w:r>
      <w:r>
        <w:t xml:space="preserve"> before and after the publication of SIGN 136 in December 2013 (red dashed line). The solid lines represent the prescribing trend derived from the interrupted time series analysis.</w:t>
      </w:r>
      <w:bookmarkEnd w:id="22"/>
      <w:r>
        <w:t xml:space="preserve">   </w:t>
      </w:r>
    </w:p>
    <w:p w14:paraId="4162A750" w14:textId="00B98D85" w:rsidR="00821E76" w:rsidRDefault="00821E76" w:rsidP="00821E76"/>
    <w:p w14:paraId="6976D88B" w14:textId="1CF164FA" w:rsidR="00821E76" w:rsidRPr="00821E76" w:rsidRDefault="00821E76" w:rsidP="00821E76">
      <w:r>
        <w:rPr>
          <w:noProof/>
        </w:rPr>
        <w:drawing>
          <wp:inline distT="0" distB="0" distL="0" distR="0" wp14:anchorId="38857FB2" wp14:editId="3B71C73A">
            <wp:extent cx="5715000" cy="5272956"/>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2056" cy="5297920"/>
                    </a:xfrm>
                    <a:prstGeom prst="rect">
                      <a:avLst/>
                    </a:prstGeom>
                    <a:noFill/>
                    <a:ln>
                      <a:noFill/>
                    </a:ln>
                  </pic:spPr>
                </pic:pic>
              </a:graphicData>
            </a:graphic>
          </wp:inline>
        </w:drawing>
      </w:r>
    </w:p>
    <w:p w14:paraId="712AC7EA" w14:textId="08138DC5" w:rsidR="001E24E9" w:rsidRPr="001E24E9" w:rsidRDefault="001E24E9" w:rsidP="001E24E9">
      <w:pPr>
        <w:sectPr w:rsidR="001E24E9" w:rsidRPr="001E24E9" w:rsidSect="00531934">
          <w:pgSz w:w="11906" w:h="16838"/>
          <w:pgMar w:top="1440" w:right="1440" w:bottom="1440" w:left="1440" w:header="708" w:footer="708" w:gutter="0"/>
          <w:cols w:space="708"/>
          <w:docGrid w:linePitch="360"/>
        </w:sectPr>
      </w:pPr>
    </w:p>
    <w:p w14:paraId="1E882C58" w14:textId="102B742A" w:rsidR="00D22109" w:rsidRDefault="00D22109" w:rsidP="00D22109">
      <w:pPr>
        <w:pStyle w:val="Heading1"/>
        <w:jc w:val="left"/>
      </w:pPr>
      <w:bookmarkStart w:id="23" w:name="_Toc114677344"/>
      <w:r w:rsidRPr="003A1967">
        <w:rPr>
          <w:b/>
          <w:bCs/>
        </w:rPr>
        <w:lastRenderedPageBreak/>
        <w:t xml:space="preserve">Supplementary </w:t>
      </w:r>
      <w:r>
        <w:rPr>
          <w:b/>
          <w:bCs/>
        </w:rPr>
        <w:t>Figure</w:t>
      </w:r>
      <w:r w:rsidRPr="003A1967">
        <w:rPr>
          <w:b/>
          <w:bCs/>
        </w:rPr>
        <w:t xml:space="preserve"> S</w:t>
      </w:r>
      <w:r w:rsidR="005951EB">
        <w:rPr>
          <w:b/>
          <w:bCs/>
        </w:rPr>
        <w:t>2</w:t>
      </w:r>
      <w:r w:rsidRPr="003A1967">
        <w:rPr>
          <w:b/>
          <w:bCs/>
        </w:rPr>
        <w:t>.</w:t>
      </w:r>
      <w:r>
        <w:t xml:space="preserve"> Opioid prescribing </w:t>
      </w:r>
      <w:r w:rsidR="00051691">
        <w:t>time series</w:t>
      </w:r>
      <w:r>
        <w:t xml:space="preserve"> across Scotland by </w:t>
      </w:r>
      <w:r w:rsidR="004634F4">
        <w:t>age</w:t>
      </w:r>
      <w:r>
        <w:t>, before and after the publication of SIGN 136 in December 2013 (red dashed line). The solid lines represent the prescribing trend derived from the interrupted time series analysis.</w:t>
      </w:r>
      <w:bookmarkEnd w:id="23"/>
      <w:r>
        <w:t xml:space="preserve">   </w:t>
      </w:r>
    </w:p>
    <w:p w14:paraId="6A35F286" w14:textId="32A5E063" w:rsidR="004634F4" w:rsidRDefault="004634F4"/>
    <w:p w14:paraId="5496C72F" w14:textId="7B91CB6B" w:rsidR="006F54CE" w:rsidRDefault="004634F4" w:rsidP="005951EB">
      <w:r>
        <w:rPr>
          <w:noProof/>
        </w:rPr>
        <w:drawing>
          <wp:inline distT="0" distB="0" distL="0" distR="0" wp14:anchorId="165F68D8" wp14:editId="00C88B19">
            <wp:extent cx="5715000" cy="5272956"/>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1418" cy="5297331"/>
                    </a:xfrm>
                    <a:prstGeom prst="rect">
                      <a:avLst/>
                    </a:prstGeom>
                    <a:noFill/>
                    <a:ln>
                      <a:noFill/>
                    </a:ln>
                  </pic:spPr>
                </pic:pic>
              </a:graphicData>
            </a:graphic>
          </wp:inline>
        </w:drawing>
      </w:r>
    </w:p>
    <w:p w14:paraId="5ECE0F4E" w14:textId="77777777" w:rsidR="00A86463" w:rsidRDefault="00A86463" w:rsidP="005951EB">
      <w:pPr>
        <w:sectPr w:rsidR="00A86463">
          <w:pgSz w:w="11906" w:h="16838"/>
          <w:pgMar w:top="1440" w:right="1440" w:bottom="1440" w:left="1440" w:header="708" w:footer="708" w:gutter="0"/>
          <w:cols w:space="708"/>
          <w:docGrid w:linePitch="360"/>
        </w:sectPr>
      </w:pPr>
    </w:p>
    <w:p w14:paraId="2335B784" w14:textId="66A8993D" w:rsidR="00A86463" w:rsidRDefault="004063DF" w:rsidP="004063DF">
      <w:pPr>
        <w:pStyle w:val="Heading1"/>
        <w:jc w:val="left"/>
      </w:pPr>
      <w:bookmarkStart w:id="24" w:name="_Toc114677345"/>
      <w:r w:rsidRPr="004063DF">
        <w:rPr>
          <w:b/>
          <w:bCs/>
        </w:rPr>
        <w:lastRenderedPageBreak/>
        <w:t>Supplementary Figure S3</w:t>
      </w:r>
      <w:r w:rsidRPr="004063DF">
        <w:t xml:space="preserve">. Opioid </w:t>
      </w:r>
      <w:r w:rsidR="00630C96">
        <w:t xml:space="preserve">and </w:t>
      </w:r>
      <w:proofErr w:type="spellStart"/>
      <w:r w:rsidR="00630C96">
        <w:t>gabapentinoid</w:t>
      </w:r>
      <w:proofErr w:type="spellEnd"/>
      <w:r w:rsidR="00630C96">
        <w:t xml:space="preserve"> </w:t>
      </w:r>
      <w:r w:rsidRPr="004063DF">
        <w:t>prescribing time series in Scotland</w:t>
      </w:r>
      <w:r w:rsidR="00F12174">
        <w:t xml:space="preserve"> (without </w:t>
      </w:r>
      <w:r w:rsidR="00544405">
        <w:t xml:space="preserve">opioid replacement </w:t>
      </w:r>
      <w:proofErr w:type="gramStart"/>
      <w:r w:rsidR="00544405">
        <w:t>therapies</w:t>
      </w:r>
      <w:r w:rsidR="00F12174">
        <w:t>)</w:t>
      </w:r>
      <w:r w:rsidR="00544405">
        <w:t>*</w:t>
      </w:r>
      <w:proofErr w:type="gramEnd"/>
      <w:r w:rsidRPr="004063DF">
        <w:t xml:space="preserve"> before and after the publication of SIGN 136 in December 2013 (red dashed line). The solid lines represent the prescribing trend derived from the interrupted time series analysis.</w:t>
      </w:r>
      <w:bookmarkEnd w:id="24"/>
      <w:r w:rsidRPr="004063DF">
        <w:t xml:space="preserve">   </w:t>
      </w:r>
    </w:p>
    <w:p w14:paraId="0BE5A49D" w14:textId="77777777" w:rsidR="00F1511B" w:rsidRPr="00F1511B" w:rsidRDefault="00F1511B" w:rsidP="00F1511B"/>
    <w:p w14:paraId="310E9927" w14:textId="0F530983" w:rsidR="00F40528" w:rsidRDefault="00F40528" w:rsidP="00F40528">
      <w:r>
        <w:rPr>
          <w:noProof/>
        </w:rPr>
        <w:drawing>
          <wp:inline distT="0" distB="0" distL="0" distR="0" wp14:anchorId="7BB8B03E" wp14:editId="409FBA18">
            <wp:extent cx="5715000" cy="5272956"/>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21000" cy="5278492"/>
                    </a:xfrm>
                    <a:prstGeom prst="rect">
                      <a:avLst/>
                    </a:prstGeom>
                    <a:noFill/>
                    <a:ln>
                      <a:noFill/>
                    </a:ln>
                  </pic:spPr>
                </pic:pic>
              </a:graphicData>
            </a:graphic>
          </wp:inline>
        </w:drawing>
      </w:r>
    </w:p>
    <w:p w14:paraId="56BE2E4D" w14:textId="77777777" w:rsidR="00332D48" w:rsidRDefault="00544405" w:rsidP="00544405">
      <w:pPr>
        <w:rPr>
          <w:rFonts w:ascii="Arial" w:hAnsi="Arial" w:cs="Arial"/>
          <w:sz w:val="24"/>
          <w:szCs w:val="24"/>
        </w:rPr>
        <w:sectPr w:rsidR="00332D48">
          <w:pgSz w:w="11906" w:h="16838"/>
          <w:pgMar w:top="1440" w:right="1440" w:bottom="1440" w:left="1440" w:header="708" w:footer="708" w:gutter="0"/>
          <w:cols w:space="708"/>
          <w:docGrid w:linePitch="360"/>
        </w:sectPr>
      </w:pPr>
      <w:r w:rsidRPr="00544405">
        <w:rPr>
          <w:rFonts w:ascii="Arial" w:hAnsi="Arial" w:cs="Arial"/>
          <w:sz w:val="24"/>
          <w:szCs w:val="24"/>
        </w:rPr>
        <w:t>*</w:t>
      </w:r>
      <w:r>
        <w:rPr>
          <w:rFonts w:ascii="Arial" w:hAnsi="Arial" w:cs="Arial"/>
          <w:sz w:val="24"/>
          <w:szCs w:val="24"/>
        </w:rPr>
        <w:t>B</w:t>
      </w:r>
      <w:r w:rsidRPr="00544405">
        <w:rPr>
          <w:rFonts w:ascii="Arial" w:hAnsi="Arial" w:cs="Arial"/>
          <w:sz w:val="24"/>
          <w:szCs w:val="24"/>
        </w:rPr>
        <w:t>uprenorphine, buprenorphine and naloxone and methadone hydrochloride</w:t>
      </w:r>
    </w:p>
    <w:p w14:paraId="60442708" w14:textId="3DD4D0D5" w:rsidR="0013528C" w:rsidRDefault="007F47D9" w:rsidP="0013528C">
      <w:pPr>
        <w:pStyle w:val="Heading1"/>
        <w:jc w:val="left"/>
      </w:pPr>
      <w:bookmarkStart w:id="25" w:name="_Toc114677346"/>
      <w:r w:rsidRPr="007F47D9">
        <w:rPr>
          <w:b/>
          <w:bCs/>
        </w:rPr>
        <w:lastRenderedPageBreak/>
        <w:t xml:space="preserve">Supplementary </w:t>
      </w:r>
      <w:r w:rsidR="0013528C" w:rsidRPr="007F47D9">
        <w:rPr>
          <w:b/>
          <w:bCs/>
        </w:rPr>
        <w:t xml:space="preserve">Figure </w:t>
      </w:r>
      <w:r w:rsidRPr="007F47D9">
        <w:rPr>
          <w:b/>
          <w:bCs/>
        </w:rPr>
        <w:t>S4</w:t>
      </w:r>
      <w:r w:rsidR="0013528C" w:rsidRPr="0013528C">
        <w:t>. Prescribing time series of weak</w:t>
      </w:r>
      <w:r w:rsidR="0013528C" w:rsidRPr="00417CD1">
        <w:rPr>
          <w:vertAlign w:val="superscript"/>
        </w:rPr>
        <w:t>1</w:t>
      </w:r>
      <w:r w:rsidR="0013528C" w:rsidRPr="0013528C">
        <w:t xml:space="preserve"> and strong</w:t>
      </w:r>
      <w:r w:rsidR="0013528C" w:rsidRPr="00417CD1">
        <w:rPr>
          <w:vertAlign w:val="superscript"/>
        </w:rPr>
        <w:t>2</w:t>
      </w:r>
      <w:r w:rsidR="0013528C" w:rsidRPr="0013528C">
        <w:t xml:space="preserve"> opioids in Scotland</w:t>
      </w:r>
      <w:r w:rsidR="00417CD1">
        <w:t xml:space="preserve"> (without opioid replacement </w:t>
      </w:r>
      <w:proofErr w:type="gramStart"/>
      <w:r w:rsidR="00417CD1" w:rsidRPr="00BA07B5">
        <w:t>therapies)*</w:t>
      </w:r>
      <w:proofErr w:type="gramEnd"/>
      <w:r w:rsidR="0013528C" w:rsidRPr="00BA07B5">
        <w:t>, before</w:t>
      </w:r>
      <w:r w:rsidR="0013528C" w:rsidRPr="0013528C">
        <w:t xml:space="preserve"> and after the publication of SIGN 136 in December 2013 (red dashed line). The solid lines represent the prescribing trend derived from the interrupted time series analysis.</w:t>
      </w:r>
      <w:bookmarkEnd w:id="25"/>
      <w:r w:rsidR="0013528C" w:rsidRPr="0013528C">
        <w:t xml:space="preserve">   </w:t>
      </w:r>
    </w:p>
    <w:p w14:paraId="0E19E106" w14:textId="11DA4F17" w:rsidR="002615F9" w:rsidRDefault="002615F9" w:rsidP="002615F9"/>
    <w:p w14:paraId="7F18E9C3" w14:textId="2C3C5257" w:rsidR="002615F9" w:rsidRDefault="00B51CCB" w:rsidP="002615F9">
      <w:r>
        <w:rPr>
          <w:noProof/>
        </w:rPr>
        <w:drawing>
          <wp:inline distT="0" distB="0" distL="0" distR="0" wp14:anchorId="5404148E" wp14:editId="6375E682">
            <wp:extent cx="5715000" cy="5272956"/>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5854" cy="5282970"/>
                    </a:xfrm>
                    <a:prstGeom prst="rect">
                      <a:avLst/>
                    </a:prstGeom>
                    <a:noFill/>
                    <a:ln>
                      <a:noFill/>
                    </a:ln>
                  </pic:spPr>
                </pic:pic>
              </a:graphicData>
            </a:graphic>
          </wp:inline>
        </w:drawing>
      </w:r>
    </w:p>
    <w:p w14:paraId="319A5A83" w14:textId="77777777" w:rsidR="0013528C" w:rsidRPr="002615F9" w:rsidRDefault="0013528C" w:rsidP="002615F9">
      <w:pPr>
        <w:rPr>
          <w:rFonts w:ascii="Arial" w:hAnsi="Arial" w:cs="Arial"/>
          <w:sz w:val="24"/>
          <w:szCs w:val="24"/>
        </w:rPr>
      </w:pPr>
      <w:r w:rsidRPr="002615F9">
        <w:rPr>
          <w:rFonts w:ascii="Arial" w:hAnsi="Arial" w:cs="Arial"/>
          <w:sz w:val="24"/>
          <w:szCs w:val="24"/>
          <w:vertAlign w:val="superscript"/>
        </w:rPr>
        <w:t>1</w:t>
      </w:r>
      <w:r w:rsidRPr="002615F9">
        <w:rPr>
          <w:rFonts w:ascii="Arial" w:hAnsi="Arial" w:cs="Arial"/>
          <w:sz w:val="24"/>
          <w:szCs w:val="24"/>
        </w:rPr>
        <w:t>Weak opioids are the following and their compounds: codeine, dihydrocodeine, meptazinol and tramadol</w:t>
      </w:r>
    </w:p>
    <w:p w14:paraId="68F110EE" w14:textId="565033F1" w:rsidR="00D5015B" w:rsidRPr="002615F9" w:rsidRDefault="0013528C" w:rsidP="002615F9">
      <w:pPr>
        <w:rPr>
          <w:rFonts w:ascii="Arial" w:hAnsi="Arial" w:cs="Arial"/>
          <w:sz w:val="24"/>
          <w:szCs w:val="24"/>
        </w:rPr>
      </w:pPr>
      <w:r w:rsidRPr="002615F9">
        <w:rPr>
          <w:rFonts w:ascii="Arial" w:hAnsi="Arial" w:cs="Arial"/>
          <w:sz w:val="24"/>
          <w:szCs w:val="24"/>
          <w:vertAlign w:val="superscript"/>
        </w:rPr>
        <w:t>2</w:t>
      </w:r>
      <w:r w:rsidRPr="002615F9">
        <w:rPr>
          <w:rFonts w:ascii="Arial" w:hAnsi="Arial" w:cs="Arial"/>
          <w:sz w:val="24"/>
          <w:szCs w:val="24"/>
        </w:rPr>
        <w:t xml:space="preserve">Strong opioids are the following and their compounds: buprenorphine, diamorphine, dipipanone, fentanyl, hydromorphone, methadone, morphine, oxycodone, papaveretum, pentazocine, pethidine and </w:t>
      </w:r>
      <w:proofErr w:type="spellStart"/>
      <w:r w:rsidRPr="002615F9">
        <w:rPr>
          <w:rFonts w:ascii="Arial" w:hAnsi="Arial" w:cs="Arial"/>
          <w:sz w:val="24"/>
          <w:szCs w:val="24"/>
        </w:rPr>
        <w:t>tapentadol</w:t>
      </w:r>
      <w:proofErr w:type="spellEnd"/>
      <w:r w:rsidRPr="002615F9">
        <w:rPr>
          <w:rFonts w:ascii="Arial" w:hAnsi="Arial" w:cs="Arial"/>
          <w:sz w:val="24"/>
          <w:szCs w:val="24"/>
        </w:rPr>
        <w:t xml:space="preserve">  </w:t>
      </w:r>
    </w:p>
    <w:p w14:paraId="7C755297" w14:textId="77777777" w:rsidR="0091591E" w:rsidRDefault="00D5015B" w:rsidP="0091591E">
      <w:pPr>
        <w:rPr>
          <w:rFonts w:ascii="Arial" w:hAnsi="Arial" w:cs="Arial"/>
          <w:sz w:val="24"/>
          <w:szCs w:val="24"/>
        </w:rPr>
        <w:sectPr w:rsidR="0091591E">
          <w:pgSz w:w="11906" w:h="16838"/>
          <w:pgMar w:top="1440" w:right="1440" w:bottom="1440" w:left="1440" w:header="708" w:footer="708" w:gutter="0"/>
          <w:cols w:space="708"/>
          <w:docGrid w:linePitch="360"/>
        </w:sectPr>
      </w:pPr>
      <w:r w:rsidRPr="002615F9">
        <w:rPr>
          <w:rFonts w:ascii="Arial" w:hAnsi="Arial" w:cs="Arial"/>
          <w:sz w:val="24"/>
          <w:szCs w:val="24"/>
        </w:rPr>
        <w:t>*Buprenorphine, buprenorphine and naloxone and methadone hydrochlorid</w:t>
      </w:r>
      <w:r w:rsidR="0091591E">
        <w:rPr>
          <w:rFonts w:ascii="Arial" w:hAnsi="Arial" w:cs="Arial"/>
          <w:sz w:val="24"/>
          <w:szCs w:val="24"/>
        </w:rPr>
        <w:t>e</w:t>
      </w:r>
    </w:p>
    <w:p w14:paraId="7F44B8CC" w14:textId="4EC66479" w:rsidR="00940A80" w:rsidRDefault="00940A80" w:rsidP="00940A80">
      <w:pPr>
        <w:pStyle w:val="Heading1"/>
        <w:jc w:val="left"/>
      </w:pPr>
      <w:bookmarkStart w:id="26" w:name="_Toc114677347"/>
      <w:r w:rsidRPr="003A1967">
        <w:rPr>
          <w:b/>
          <w:bCs/>
        </w:rPr>
        <w:lastRenderedPageBreak/>
        <w:t xml:space="preserve">Supplementary </w:t>
      </w:r>
      <w:r>
        <w:rPr>
          <w:b/>
          <w:bCs/>
        </w:rPr>
        <w:t>Figure</w:t>
      </w:r>
      <w:r w:rsidRPr="003A1967">
        <w:rPr>
          <w:b/>
          <w:bCs/>
        </w:rPr>
        <w:t xml:space="preserve"> S</w:t>
      </w:r>
      <w:r>
        <w:rPr>
          <w:b/>
          <w:bCs/>
        </w:rPr>
        <w:t>5</w:t>
      </w:r>
      <w:r w:rsidRPr="003A1967">
        <w:rPr>
          <w:b/>
          <w:bCs/>
        </w:rPr>
        <w:t>.</w:t>
      </w:r>
      <w:r>
        <w:t xml:space="preserve"> Opioid prescribing time series across Scotland by gender</w:t>
      </w:r>
      <w:r w:rsidR="00DF7FA0">
        <w:t xml:space="preserve"> (without opioid replacement </w:t>
      </w:r>
      <w:proofErr w:type="gramStart"/>
      <w:r w:rsidR="00DF7FA0" w:rsidRPr="00BA07B5">
        <w:t>therapies)*</w:t>
      </w:r>
      <w:proofErr w:type="gramEnd"/>
      <w:r>
        <w:t>, before and after the publication of SIGN 136 in December 2013 (red dashed line). The solid lines represent the prescribing trend derived from the interrupted time series analysis.</w:t>
      </w:r>
      <w:bookmarkEnd w:id="26"/>
      <w:r>
        <w:t xml:space="preserve">   </w:t>
      </w:r>
    </w:p>
    <w:p w14:paraId="007DCC0F" w14:textId="5FC0643A" w:rsidR="00D5015B" w:rsidRDefault="00D5015B" w:rsidP="0091591E"/>
    <w:p w14:paraId="72D1E61A" w14:textId="270B3062" w:rsidR="00DF7FA0" w:rsidRDefault="007365D4" w:rsidP="0091591E">
      <w:r>
        <w:rPr>
          <w:noProof/>
        </w:rPr>
        <w:drawing>
          <wp:inline distT="0" distB="0" distL="0" distR="0" wp14:anchorId="4FB0EBEA" wp14:editId="67A289FC">
            <wp:extent cx="5715000" cy="5272956"/>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2995" cy="5280333"/>
                    </a:xfrm>
                    <a:prstGeom prst="rect">
                      <a:avLst/>
                    </a:prstGeom>
                    <a:noFill/>
                    <a:ln>
                      <a:noFill/>
                    </a:ln>
                  </pic:spPr>
                </pic:pic>
              </a:graphicData>
            </a:graphic>
          </wp:inline>
        </w:drawing>
      </w:r>
    </w:p>
    <w:p w14:paraId="2900D333" w14:textId="77777777" w:rsidR="007127FE" w:rsidRDefault="00DF7FA0" w:rsidP="0091591E">
      <w:pPr>
        <w:rPr>
          <w:rFonts w:ascii="Arial" w:hAnsi="Arial" w:cs="Arial"/>
          <w:sz w:val="24"/>
          <w:szCs w:val="24"/>
        </w:rPr>
        <w:sectPr w:rsidR="007127FE">
          <w:pgSz w:w="11906" w:h="16838"/>
          <w:pgMar w:top="1440" w:right="1440" w:bottom="1440" w:left="1440" w:header="708" w:footer="708" w:gutter="0"/>
          <w:cols w:space="708"/>
          <w:docGrid w:linePitch="360"/>
        </w:sectPr>
      </w:pPr>
      <w:r w:rsidRPr="002615F9">
        <w:rPr>
          <w:rFonts w:ascii="Arial" w:hAnsi="Arial" w:cs="Arial"/>
          <w:sz w:val="24"/>
          <w:szCs w:val="24"/>
        </w:rPr>
        <w:t>*Buprenorphine, buprenorphine and naloxone and methadone hydrochlorid</w:t>
      </w:r>
      <w:r>
        <w:rPr>
          <w:rFonts w:ascii="Arial" w:hAnsi="Arial" w:cs="Arial"/>
          <w:sz w:val="24"/>
          <w:szCs w:val="24"/>
        </w:rPr>
        <w:t>e</w:t>
      </w:r>
    </w:p>
    <w:p w14:paraId="1875B3AE" w14:textId="32B5E124" w:rsidR="007127FE" w:rsidRDefault="007127FE" w:rsidP="007127FE">
      <w:pPr>
        <w:pStyle w:val="Heading1"/>
        <w:jc w:val="left"/>
      </w:pPr>
      <w:bookmarkStart w:id="27" w:name="_Toc114677348"/>
      <w:r w:rsidRPr="003A1967">
        <w:rPr>
          <w:b/>
          <w:bCs/>
        </w:rPr>
        <w:lastRenderedPageBreak/>
        <w:t xml:space="preserve">Supplementary </w:t>
      </w:r>
      <w:r>
        <w:rPr>
          <w:b/>
          <w:bCs/>
        </w:rPr>
        <w:t>Figure</w:t>
      </w:r>
      <w:r w:rsidRPr="003A1967">
        <w:rPr>
          <w:b/>
          <w:bCs/>
        </w:rPr>
        <w:t xml:space="preserve"> S</w:t>
      </w:r>
      <w:r>
        <w:rPr>
          <w:b/>
          <w:bCs/>
        </w:rPr>
        <w:t>6</w:t>
      </w:r>
      <w:r w:rsidRPr="003A1967">
        <w:rPr>
          <w:b/>
          <w:bCs/>
        </w:rPr>
        <w:t>.</w:t>
      </w:r>
      <w:r>
        <w:t xml:space="preserve"> Opioid prescribing time series across Scotland by age</w:t>
      </w:r>
      <w:r w:rsidR="00DD18F2">
        <w:t xml:space="preserve"> (without opioid replacement </w:t>
      </w:r>
      <w:proofErr w:type="gramStart"/>
      <w:r w:rsidR="00DD18F2" w:rsidRPr="00BA07B5">
        <w:t>therapies)*</w:t>
      </w:r>
      <w:proofErr w:type="gramEnd"/>
      <w:r>
        <w:t>, before and after the publication of SIGN 136 in December 2013 (red dashed line). The solid lines represent the prescribing trend derived from the interrupted time series analysis.</w:t>
      </w:r>
      <w:bookmarkEnd w:id="27"/>
      <w:r>
        <w:t xml:space="preserve">   </w:t>
      </w:r>
    </w:p>
    <w:p w14:paraId="50DB80FF" w14:textId="73749BA4" w:rsidR="00DF7FA0" w:rsidRDefault="00DF7FA0" w:rsidP="0091591E"/>
    <w:p w14:paraId="5B83E0AE" w14:textId="24B4D8CD" w:rsidR="009636A8" w:rsidRDefault="00DD18F2" w:rsidP="0091591E">
      <w:r>
        <w:rPr>
          <w:noProof/>
        </w:rPr>
        <w:drawing>
          <wp:inline distT="0" distB="0" distL="0" distR="0" wp14:anchorId="23972BB7" wp14:editId="20ED4FB3">
            <wp:extent cx="5715000" cy="5272956"/>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4659" cy="5281868"/>
                    </a:xfrm>
                    <a:prstGeom prst="rect">
                      <a:avLst/>
                    </a:prstGeom>
                    <a:noFill/>
                    <a:ln>
                      <a:noFill/>
                    </a:ln>
                  </pic:spPr>
                </pic:pic>
              </a:graphicData>
            </a:graphic>
          </wp:inline>
        </w:drawing>
      </w:r>
    </w:p>
    <w:p w14:paraId="2DF96D98" w14:textId="0490349B" w:rsidR="009636A8" w:rsidRPr="00D5015B" w:rsidRDefault="009636A8" w:rsidP="0091591E">
      <w:r w:rsidRPr="002615F9">
        <w:rPr>
          <w:rFonts w:ascii="Arial" w:hAnsi="Arial" w:cs="Arial"/>
          <w:sz w:val="24"/>
          <w:szCs w:val="24"/>
        </w:rPr>
        <w:t>*Buprenorphine, buprenorphine and naloxone and methadone hydrochlorid</w:t>
      </w:r>
      <w:r>
        <w:rPr>
          <w:rFonts w:ascii="Arial" w:hAnsi="Arial" w:cs="Arial"/>
          <w:sz w:val="24"/>
          <w:szCs w:val="24"/>
        </w:rPr>
        <w:t>e</w:t>
      </w:r>
    </w:p>
    <w:sectPr w:rsidR="009636A8" w:rsidRPr="00D5015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416A7" w14:textId="77777777" w:rsidR="007E36B2" w:rsidRDefault="007E36B2" w:rsidP="00116F2C">
      <w:pPr>
        <w:spacing w:after="0" w:line="240" w:lineRule="auto"/>
      </w:pPr>
      <w:r>
        <w:separator/>
      </w:r>
    </w:p>
  </w:endnote>
  <w:endnote w:type="continuationSeparator" w:id="0">
    <w:p w14:paraId="72CA26CC" w14:textId="77777777" w:rsidR="007E36B2" w:rsidRDefault="007E36B2" w:rsidP="00116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9205437"/>
      <w:docPartObj>
        <w:docPartGallery w:val="Page Numbers (Bottom of Page)"/>
        <w:docPartUnique/>
      </w:docPartObj>
    </w:sdtPr>
    <w:sdtEndPr>
      <w:rPr>
        <w:noProof/>
      </w:rPr>
    </w:sdtEndPr>
    <w:sdtContent>
      <w:p w14:paraId="029B82FB" w14:textId="4F1DD306" w:rsidR="00C41A3E" w:rsidRDefault="00C41A3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8D6BF2" w14:textId="77777777" w:rsidR="00C41A3E" w:rsidRDefault="00C41A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FE21E" w14:textId="77777777" w:rsidR="007E36B2" w:rsidRDefault="007E36B2" w:rsidP="00116F2C">
      <w:pPr>
        <w:spacing w:after="0" w:line="240" w:lineRule="auto"/>
      </w:pPr>
      <w:r>
        <w:separator/>
      </w:r>
    </w:p>
  </w:footnote>
  <w:footnote w:type="continuationSeparator" w:id="0">
    <w:p w14:paraId="2BF3A824" w14:textId="77777777" w:rsidR="007E36B2" w:rsidRDefault="007E36B2" w:rsidP="00116F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2356F"/>
    <w:multiLevelType w:val="hybridMultilevel"/>
    <w:tmpl w:val="491651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8990FC9"/>
    <w:multiLevelType w:val="hybridMultilevel"/>
    <w:tmpl w:val="3D30D3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4C866F71"/>
    <w:multiLevelType w:val="hybridMultilevel"/>
    <w:tmpl w:val="86FCE04A"/>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76E21336"/>
    <w:multiLevelType w:val="hybridMultilevel"/>
    <w:tmpl w:val="C3E6DEFC"/>
    <w:lvl w:ilvl="0" w:tplc="E72C2FB0">
      <w:start w:val="1"/>
      <w:numFmt w:val="decimal"/>
      <w:lvlText w:val="%1."/>
      <w:lvlJc w:val="left"/>
      <w:pPr>
        <w:ind w:left="360" w:hanging="360"/>
      </w:pPr>
      <w:rPr>
        <w:vertAlign w:val="baseline"/>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4CE"/>
    <w:rsid w:val="00001AA9"/>
    <w:rsid w:val="00011540"/>
    <w:rsid w:val="00012C25"/>
    <w:rsid w:val="0002135F"/>
    <w:rsid w:val="00024DAE"/>
    <w:rsid w:val="00025CD8"/>
    <w:rsid w:val="000318FF"/>
    <w:rsid w:val="000335E2"/>
    <w:rsid w:val="00034253"/>
    <w:rsid w:val="000418C0"/>
    <w:rsid w:val="00041B0F"/>
    <w:rsid w:val="00043D1A"/>
    <w:rsid w:val="00044F07"/>
    <w:rsid w:val="00051691"/>
    <w:rsid w:val="00053210"/>
    <w:rsid w:val="0006087C"/>
    <w:rsid w:val="00063C6E"/>
    <w:rsid w:val="000722C3"/>
    <w:rsid w:val="0007329E"/>
    <w:rsid w:val="000736A0"/>
    <w:rsid w:val="00075B57"/>
    <w:rsid w:val="000872BC"/>
    <w:rsid w:val="000903EF"/>
    <w:rsid w:val="000955FD"/>
    <w:rsid w:val="000964F5"/>
    <w:rsid w:val="000A7089"/>
    <w:rsid w:val="000B39CD"/>
    <w:rsid w:val="000B7EBA"/>
    <w:rsid w:val="000C36BD"/>
    <w:rsid w:val="000C53C0"/>
    <w:rsid w:val="000D24D1"/>
    <w:rsid w:val="000D3E7F"/>
    <w:rsid w:val="000D5AF1"/>
    <w:rsid w:val="000D7E71"/>
    <w:rsid w:val="000E4929"/>
    <w:rsid w:val="000E514D"/>
    <w:rsid w:val="000F1721"/>
    <w:rsid w:val="000F44DF"/>
    <w:rsid w:val="000F7E81"/>
    <w:rsid w:val="001011AF"/>
    <w:rsid w:val="00103EBF"/>
    <w:rsid w:val="001112F0"/>
    <w:rsid w:val="00113A1D"/>
    <w:rsid w:val="00114BEB"/>
    <w:rsid w:val="00115CAE"/>
    <w:rsid w:val="001160BD"/>
    <w:rsid w:val="001161B2"/>
    <w:rsid w:val="00116F2C"/>
    <w:rsid w:val="00120713"/>
    <w:rsid w:val="00123173"/>
    <w:rsid w:val="00127EE2"/>
    <w:rsid w:val="001304D0"/>
    <w:rsid w:val="0013528C"/>
    <w:rsid w:val="00135B7A"/>
    <w:rsid w:val="001411A6"/>
    <w:rsid w:val="001427D1"/>
    <w:rsid w:val="00142E8A"/>
    <w:rsid w:val="00154782"/>
    <w:rsid w:val="00162A60"/>
    <w:rsid w:val="00165C07"/>
    <w:rsid w:val="00173C74"/>
    <w:rsid w:val="00177A4F"/>
    <w:rsid w:val="00181D91"/>
    <w:rsid w:val="001820E1"/>
    <w:rsid w:val="0018595F"/>
    <w:rsid w:val="00191CE8"/>
    <w:rsid w:val="001925D5"/>
    <w:rsid w:val="00194D58"/>
    <w:rsid w:val="00196AE9"/>
    <w:rsid w:val="0019756D"/>
    <w:rsid w:val="001A1835"/>
    <w:rsid w:val="001A210C"/>
    <w:rsid w:val="001A4ADD"/>
    <w:rsid w:val="001B0A72"/>
    <w:rsid w:val="001B11B7"/>
    <w:rsid w:val="001B1528"/>
    <w:rsid w:val="001B65CB"/>
    <w:rsid w:val="001C0D4B"/>
    <w:rsid w:val="001C1093"/>
    <w:rsid w:val="001D5BAE"/>
    <w:rsid w:val="001D719B"/>
    <w:rsid w:val="001E0A08"/>
    <w:rsid w:val="001E20E5"/>
    <w:rsid w:val="001E24E9"/>
    <w:rsid w:val="001E2B8D"/>
    <w:rsid w:val="001E61EE"/>
    <w:rsid w:val="001E7375"/>
    <w:rsid w:val="001F2336"/>
    <w:rsid w:val="00206004"/>
    <w:rsid w:val="0020665E"/>
    <w:rsid w:val="00207358"/>
    <w:rsid w:val="0021350F"/>
    <w:rsid w:val="00215C4A"/>
    <w:rsid w:val="00220C88"/>
    <w:rsid w:val="00221F64"/>
    <w:rsid w:val="00222565"/>
    <w:rsid w:val="0022505A"/>
    <w:rsid w:val="00226DF0"/>
    <w:rsid w:val="0023003A"/>
    <w:rsid w:val="002334AF"/>
    <w:rsid w:val="00233EB7"/>
    <w:rsid w:val="00236D4F"/>
    <w:rsid w:val="00240362"/>
    <w:rsid w:val="00244479"/>
    <w:rsid w:val="0024783D"/>
    <w:rsid w:val="00251FAC"/>
    <w:rsid w:val="00252133"/>
    <w:rsid w:val="0025477F"/>
    <w:rsid w:val="002556FC"/>
    <w:rsid w:val="00255755"/>
    <w:rsid w:val="00255827"/>
    <w:rsid w:val="002615F9"/>
    <w:rsid w:val="00265653"/>
    <w:rsid w:val="00270EBF"/>
    <w:rsid w:val="0028033F"/>
    <w:rsid w:val="002862E3"/>
    <w:rsid w:val="00291769"/>
    <w:rsid w:val="00295C98"/>
    <w:rsid w:val="002977C3"/>
    <w:rsid w:val="002A0AAB"/>
    <w:rsid w:val="002A1F4D"/>
    <w:rsid w:val="002A6D9C"/>
    <w:rsid w:val="002A70E6"/>
    <w:rsid w:val="002B1144"/>
    <w:rsid w:val="002B27A1"/>
    <w:rsid w:val="002B3DDA"/>
    <w:rsid w:val="002B4EEE"/>
    <w:rsid w:val="002B75A3"/>
    <w:rsid w:val="002B7D92"/>
    <w:rsid w:val="002C11F7"/>
    <w:rsid w:val="002C435F"/>
    <w:rsid w:val="002D02FD"/>
    <w:rsid w:val="002D1981"/>
    <w:rsid w:val="002E149E"/>
    <w:rsid w:val="002E1DB7"/>
    <w:rsid w:val="002E2D3C"/>
    <w:rsid w:val="002E5CD3"/>
    <w:rsid w:val="002E7399"/>
    <w:rsid w:val="002F0B77"/>
    <w:rsid w:val="002F3573"/>
    <w:rsid w:val="002F4A54"/>
    <w:rsid w:val="002F4F82"/>
    <w:rsid w:val="002F5819"/>
    <w:rsid w:val="002F5CF8"/>
    <w:rsid w:val="00302356"/>
    <w:rsid w:val="00306736"/>
    <w:rsid w:val="00307B46"/>
    <w:rsid w:val="003149F6"/>
    <w:rsid w:val="0031596E"/>
    <w:rsid w:val="003168D0"/>
    <w:rsid w:val="00321742"/>
    <w:rsid w:val="003243AD"/>
    <w:rsid w:val="00327103"/>
    <w:rsid w:val="0032732A"/>
    <w:rsid w:val="0033013C"/>
    <w:rsid w:val="003301F1"/>
    <w:rsid w:val="00330C36"/>
    <w:rsid w:val="003320E8"/>
    <w:rsid w:val="00332D48"/>
    <w:rsid w:val="00337ED6"/>
    <w:rsid w:val="00353338"/>
    <w:rsid w:val="0035352B"/>
    <w:rsid w:val="00353FE0"/>
    <w:rsid w:val="0035415B"/>
    <w:rsid w:val="00355DD5"/>
    <w:rsid w:val="003602F6"/>
    <w:rsid w:val="00362035"/>
    <w:rsid w:val="003625AB"/>
    <w:rsid w:val="00363ACA"/>
    <w:rsid w:val="00365628"/>
    <w:rsid w:val="00366F4A"/>
    <w:rsid w:val="00381477"/>
    <w:rsid w:val="003819FC"/>
    <w:rsid w:val="00383204"/>
    <w:rsid w:val="003908D6"/>
    <w:rsid w:val="00396D74"/>
    <w:rsid w:val="00397229"/>
    <w:rsid w:val="003A1967"/>
    <w:rsid w:val="003A22CE"/>
    <w:rsid w:val="003A3137"/>
    <w:rsid w:val="003A3EB0"/>
    <w:rsid w:val="003A45FD"/>
    <w:rsid w:val="003A51B4"/>
    <w:rsid w:val="003B552E"/>
    <w:rsid w:val="003B64BA"/>
    <w:rsid w:val="003B6FBD"/>
    <w:rsid w:val="003C1BD4"/>
    <w:rsid w:val="003C1F52"/>
    <w:rsid w:val="003C39FA"/>
    <w:rsid w:val="003C6092"/>
    <w:rsid w:val="003C7745"/>
    <w:rsid w:val="003D0DFC"/>
    <w:rsid w:val="003D7780"/>
    <w:rsid w:val="003E156D"/>
    <w:rsid w:val="003E3192"/>
    <w:rsid w:val="003E3590"/>
    <w:rsid w:val="003E4885"/>
    <w:rsid w:val="003E5F60"/>
    <w:rsid w:val="003E63C4"/>
    <w:rsid w:val="003E7838"/>
    <w:rsid w:val="003F1D3E"/>
    <w:rsid w:val="003F611E"/>
    <w:rsid w:val="003F6D92"/>
    <w:rsid w:val="004013F4"/>
    <w:rsid w:val="00403C40"/>
    <w:rsid w:val="004045CD"/>
    <w:rsid w:val="004063DF"/>
    <w:rsid w:val="00415EBE"/>
    <w:rsid w:val="00417CD1"/>
    <w:rsid w:val="00421407"/>
    <w:rsid w:val="00421858"/>
    <w:rsid w:val="00426463"/>
    <w:rsid w:val="004402C9"/>
    <w:rsid w:val="004440C2"/>
    <w:rsid w:val="00444374"/>
    <w:rsid w:val="004443C0"/>
    <w:rsid w:val="0045084C"/>
    <w:rsid w:val="00450C02"/>
    <w:rsid w:val="004519F6"/>
    <w:rsid w:val="004523C0"/>
    <w:rsid w:val="0045407D"/>
    <w:rsid w:val="00456D53"/>
    <w:rsid w:val="00460B77"/>
    <w:rsid w:val="004634F4"/>
    <w:rsid w:val="004638E2"/>
    <w:rsid w:val="00467ED3"/>
    <w:rsid w:val="004725C1"/>
    <w:rsid w:val="00476912"/>
    <w:rsid w:val="00476D8A"/>
    <w:rsid w:val="00482322"/>
    <w:rsid w:val="00483833"/>
    <w:rsid w:val="00493536"/>
    <w:rsid w:val="0049390C"/>
    <w:rsid w:val="00494597"/>
    <w:rsid w:val="00494B5C"/>
    <w:rsid w:val="00495E18"/>
    <w:rsid w:val="00496E6B"/>
    <w:rsid w:val="004A0197"/>
    <w:rsid w:val="004B0E6A"/>
    <w:rsid w:val="004B127A"/>
    <w:rsid w:val="004B3DAB"/>
    <w:rsid w:val="004B798F"/>
    <w:rsid w:val="004C31A1"/>
    <w:rsid w:val="004C7741"/>
    <w:rsid w:val="004D178C"/>
    <w:rsid w:val="004D207B"/>
    <w:rsid w:val="004D23E5"/>
    <w:rsid w:val="004D44B3"/>
    <w:rsid w:val="004D4CA7"/>
    <w:rsid w:val="004E5E41"/>
    <w:rsid w:val="004F18D3"/>
    <w:rsid w:val="004F4FF2"/>
    <w:rsid w:val="00503BAE"/>
    <w:rsid w:val="005041D1"/>
    <w:rsid w:val="00506306"/>
    <w:rsid w:val="00517CF7"/>
    <w:rsid w:val="00522EB2"/>
    <w:rsid w:val="005234E9"/>
    <w:rsid w:val="00523FE8"/>
    <w:rsid w:val="005249C1"/>
    <w:rsid w:val="005260DD"/>
    <w:rsid w:val="00531934"/>
    <w:rsid w:val="00531F31"/>
    <w:rsid w:val="00533C39"/>
    <w:rsid w:val="00535193"/>
    <w:rsid w:val="00536ABB"/>
    <w:rsid w:val="00543EA1"/>
    <w:rsid w:val="0054413A"/>
    <w:rsid w:val="00544405"/>
    <w:rsid w:val="005451DD"/>
    <w:rsid w:val="0055146F"/>
    <w:rsid w:val="00552D0A"/>
    <w:rsid w:val="005570CE"/>
    <w:rsid w:val="00562538"/>
    <w:rsid w:val="00567DB3"/>
    <w:rsid w:val="005715E4"/>
    <w:rsid w:val="0057759E"/>
    <w:rsid w:val="00582737"/>
    <w:rsid w:val="00583357"/>
    <w:rsid w:val="005868C6"/>
    <w:rsid w:val="005951EB"/>
    <w:rsid w:val="005A18D8"/>
    <w:rsid w:val="005A6188"/>
    <w:rsid w:val="005A630F"/>
    <w:rsid w:val="005B2ABC"/>
    <w:rsid w:val="005B4F24"/>
    <w:rsid w:val="005B58B9"/>
    <w:rsid w:val="005B5C96"/>
    <w:rsid w:val="005B6234"/>
    <w:rsid w:val="005C10F6"/>
    <w:rsid w:val="005D0654"/>
    <w:rsid w:val="005D6436"/>
    <w:rsid w:val="005E04AC"/>
    <w:rsid w:val="005E1FA4"/>
    <w:rsid w:val="005E4967"/>
    <w:rsid w:val="005E5F9B"/>
    <w:rsid w:val="005F0FA9"/>
    <w:rsid w:val="005F284C"/>
    <w:rsid w:val="00600007"/>
    <w:rsid w:val="00601CE7"/>
    <w:rsid w:val="006055A7"/>
    <w:rsid w:val="0060664F"/>
    <w:rsid w:val="00606FDB"/>
    <w:rsid w:val="00613C91"/>
    <w:rsid w:val="006159FF"/>
    <w:rsid w:val="00615CCD"/>
    <w:rsid w:val="00616154"/>
    <w:rsid w:val="00616508"/>
    <w:rsid w:val="00630C96"/>
    <w:rsid w:val="00632B87"/>
    <w:rsid w:val="006334FC"/>
    <w:rsid w:val="00633EDB"/>
    <w:rsid w:val="006361AE"/>
    <w:rsid w:val="006413B1"/>
    <w:rsid w:val="00641489"/>
    <w:rsid w:val="0064177E"/>
    <w:rsid w:val="00642AAB"/>
    <w:rsid w:val="00650EDA"/>
    <w:rsid w:val="006614FF"/>
    <w:rsid w:val="0066411A"/>
    <w:rsid w:val="0066674C"/>
    <w:rsid w:val="00670399"/>
    <w:rsid w:val="00670B2F"/>
    <w:rsid w:val="00677C1C"/>
    <w:rsid w:val="006813FC"/>
    <w:rsid w:val="00683503"/>
    <w:rsid w:val="0068420F"/>
    <w:rsid w:val="006849EF"/>
    <w:rsid w:val="00686BA6"/>
    <w:rsid w:val="006872F1"/>
    <w:rsid w:val="00690E0D"/>
    <w:rsid w:val="00691600"/>
    <w:rsid w:val="00692489"/>
    <w:rsid w:val="00694326"/>
    <w:rsid w:val="00695171"/>
    <w:rsid w:val="006A2047"/>
    <w:rsid w:val="006A7BA3"/>
    <w:rsid w:val="006B50A1"/>
    <w:rsid w:val="006B554E"/>
    <w:rsid w:val="006C0266"/>
    <w:rsid w:val="006C0B70"/>
    <w:rsid w:val="006C1117"/>
    <w:rsid w:val="006D0F53"/>
    <w:rsid w:val="006D2551"/>
    <w:rsid w:val="006D7AF8"/>
    <w:rsid w:val="006E07B2"/>
    <w:rsid w:val="006E7CE4"/>
    <w:rsid w:val="006F1BAA"/>
    <w:rsid w:val="006F2A1F"/>
    <w:rsid w:val="006F39B5"/>
    <w:rsid w:val="006F54CE"/>
    <w:rsid w:val="0070042A"/>
    <w:rsid w:val="00703BF7"/>
    <w:rsid w:val="007127FE"/>
    <w:rsid w:val="00714665"/>
    <w:rsid w:val="00717D4F"/>
    <w:rsid w:val="0072192A"/>
    <w:rsid w:val="00722AA7"/>
    <w:rsid w:val="00724622"/>
    <w:rsid w:val="007307BA"/>
    <w:rsid w:val="0073240E"/>
    <w:rsid w:val="00733622"/>
    <w:rsid w:val="00734073"/>
    <w:rsid w:val="00734F17"/>
    <w:rsid w:val="00736408"/>
    <w:rsid w:val="007365D4"/>
    <w:rsid w:val="00736806"/>
    <w:rsid w:val="00740954"/>
    <w:rsid w:val="00740E0B"/>
    <w:rsid w:val="00747232"/>
    <w:rsid w:val="00747462"/>
    <w:rsid w:val="00747AE3"/>
    <w:rsid w:val="00751A82"/>
    <w:rsid w:val="00753334"/>
    <w:rsid w:val="00756719"/>
    <w:rsid w:val="00756800"/>
    <w:rsid w:val="00756CA1"/>
    <w:rsid w:val="007635A4"/>
    <w:rsid w:val="00763E95"/>
    <w:rsid w:val="0077435A"/>
    <w:rsid w:val="00777372"/>
    <w:rsid w:val="007819CF"/>
    <w:rsid w:val="00782C69"/>
    <w:rsid w:val="00784C4B"/>
    <w:rsid w:val="007861F3"/>
    <w:rsid w:val="00787407"/>
    <w:rsid w:val="00792EF0"/>
    <w:rsid w:val="007A0564"/>
    <w:rsid w:val="007A3D86"/>
    <w:rsid w:val="007A51DB"/>
    <w:rsid w:val="007B02E1"/>
    <w:rsid w:val="007B5430"/>
    <w:rsid w:val="007B564D"/>
    <w:rsid w:val="007D1FCF"/>
    <w:rsid w:val="007D28A4"/>
    <w:rsid w:val="007D4FB1"/>
    <w:rsid w:val="007E01DB"/>
    <w:rsid w:val="007E36B2"/>
    <w:rsid w:val="007E54D8"/>
    <w:rsid w:val="007F47D9"/>
    <w:rsid w:val="00804C83"/>
    <w:rsid w:val="00807581"/>
    <w:rsid w:val="00812AA6"/>
    <w:rsid w:val="00815D36"/>
    <w:rsid w:val="00821E76"/>
    <w:rsid w:val="00823354"/>
    <w:rsid w:val="0082758A"/>
    <w:rsid w:val="00831A4C"/>
    <w:rsid w:val="00833E82"/>
    <w:rsid w:val="00834740"/>
    <w:rsid w:val="008367AB"/>
    <w:rsid w:val="00837399"/>
    <w:rsid w:val="0084050B"/>
    <w:rsid w:val="00841C0A"/>
    <w:rsid w:val="00844175"/>
    <w:rsid w:val="00845BAA"/>
    <w:rsid w:val="00845F73"/>
    <w:rsid w:val="00847BB2"/>
    <w:rsid w:val="00853D0D"/>
    <w:rsid w:val="00857FB3"/>
    <w:rsid w:val="008603AF"/>
    <w:rsid w:val="00863006"/>
    <w:rsid w:val="00866CC7"/>
    <w:rsid w:val="008727A7"/>
    <w:rsid w:val="00873D8D"/>
    <w:rsid w:val="0087549B"/>
    <w:rsid w:val="00881DD5"/>
    <w:rsid w:val="00884B5E"/>
    <w:rsid w:val="00884CE5"/>
    <w:rsid w:val="00885EF8"/>
    <w:rsid w:val="00890BF0"/>
    <w:rsid w:val="0089283F"/>
    <w:rsid w:val="008962FD"/>
    <w:rsid w:val="008A11FE"/>
    <w:rsid w:val="008A403F"/>
    <w:rsid w:val="008A437F"/>
    <w:rsid w:val="008A5B70"/>
    <w:rsid w:val="008A6423"/>
    <w:rsid w:val="008A6BE6"/>
    <w:rsid w:val="008B1D1F"/>
    <w:rsid w:val="008B4943"/>
    <w:rsid w:val="008B6673"/>
    <w:rsid w:val="008B785C"/>
    <w:rsid w:val="008C262F"/>
    <w:rsid w:val="008C3EEA"/>
    <w:rsid w:val="008C5F49"/>
    <w:rsid w:val="008C6A91"/>
    <w:rsid w:val="008D5559"/>
    <w:rsid w:val="008D59A0"/>
    <w:rsid w:val="008D6B82"/>
    <w:rsid w:val="008D76DB"/>
    <w:rsid w:val="008F114B"/>
    <w:rsid w:val="008F3D31"/>
    <w:rsid w:val="008F6982"/>
    <w:rsid w:val="009005AE"/>
    <w:rsid w:val="0090193F"/>
    <w:rsid w:val="00914EDE"/>
    <w:rsid w:val="0091591E"/>
    <w:rsid w:val="00917126"/>
    <w:rsid w:val="00920C28"/>
    <w:rsid w:val="009220EB"/>
    <w:rsid w:val="0092488C"/>
    <w:rsid w:val="00935F37"/>
    <w:rsid w:val="00940A80"/>
    <w:rsid w:val="009415FB"/>
    <w:rsid w:val="009427C4"/>
    <w:rsid w:val="00943A8B"/>
    <w:rsid w:val="00947B72"/>
    <w:rsid w:val="0095238E"/>
    <w:rsid w:val="00957B1A"/>
    <w:rsid w:val="009636A8"/>
    <w:rsid w:val="00963EAC"/>
    <w:rsid w:val="00964664"/>
    <w:rsid w:val="00964D5D"/>
    <w:rsid w:val="009657AB"/>
    <w:rsid w:val="00966BF5"/>
    <w:rsid w:val="0096763B"/>
    <w:rsid w:val="00983FBE"/>
    <w:rsid w:val="00987FC7"/>
    <w:rsid w:val="009931AC"/>
    <w:rsid w:val="009945BC"/>
    <w:rsid w:val="009A361C"/>
    <w:rsid w:val="009B581D"/>
    <w:rsid w:val="009B6156"/>
    <w:rsid w:val="009C0CCD"/>
    <w:rsid w:val="009C15D9"/>
    <w:rsid w:val="009D3A3D"/>
    <w:rsid w:val="009D5263"/>
    <w:rsid w:val="009D6CCE"/>
    <w:rsid w:val="009D716E"/>
    <w:rsid w:val="009E06BD"/>
    <w:rsid w:val="009E077D"/>
    <w:rsid w:val="009E3C67"/>
    <w:rsid w:val="009E3F19"/>
    <w:rsid w:val="009F3589"/>
    <w:rsid w:val="00A03413"/>
    <w:rsid w:val="00A05C19"/>
    <w:rsid w:val="00A11332"/>
    <w:rsid w:val="00A13A19"/>
    <w:rsid w:val="00A16019"/>
    <w:rsid w:val="00A22FF7"/>
    <w:rsid w:val="00A23C04"/>
    <w:rsid w:val="00A273C8"/>
    <w:rsid w:val="00A318D7"/>
    <w:rsid w:val="00A32D91"/>
    <w:rsid w:val="00A344B0"/>
    <w:rsid w:val="00A353C3"/>
    <w:rsid w:val="00A37196"/>
    <w:rsid w:val="00A41EAD"/>
    <w:rsid w:val="00A42780"/>
    <w:rsid w:val="00A45E89"/>
    <w:rsid w:val="00A53183"/>
    <w:rsid w:val="00A56631"/>
    <w:rsid w:val="00A61864"/>
    <w:rsid w:val="00A61EBC"/>
    <w:rsid w:val="00A629E0"/>
    <w:rsid w:val="00A64AA0"/>
    <w:rsid w:val="00A65396"/>
    <w:rsid w:val="00A65B0F"/>
    <w:rsid w:val="00A66944"/>
    <w:rsid w:val="00A70690"/>
    <w:rsid w:val="00A71005"/>
    <w:rsid w:val="00A72E5A"/>
    <w:rsid w:val="00A73395"/>
    <w:rsid w:val="00A80DB9"/>
    <w:rsid w:val="00A86463"/>
    <w:rsid w:val="00A867C1"/>
    <w:rsid w:val="00A90044"/>
    <w:rsid w:val="00A909B3"/>
    <w:rsid w:val="00A937F4"/>
    <w:rsid w:val="00A93DD1"/>
    <w:rsid w:val="00A96413"/>
    <w:rsid w:val="00AC1809"/>
    <w:rsid w:val="00AC3B9C"/>
    <w:rsid w:val="00AC712D"/>
    <w:rsid w:val="00AD6920"/>
    <w:rsid w:val="00AE287F"/>
    <w:rsid w:val="00AE73F4"/>
    <w:rsid w:val="00AF2D83"/>
    <w:rsid w:val="00AF7318"/>
    <w:rsid w:val="00B057AC"/>
    <w:rsid w:val="00B064F4"/>
    <w:rsid w:val="00B127A7"/>
    <w:rsid w:val="00B12E9E"/>
    <w:rsid w:val="00B13C9A"/>
    <w:rsid w:val="00B1582E"/>
    <w:rsid w:val="00B21044"/>
    <w:rsid w:val="00B21502"/>
    <w:rsid w:val="00B2312D"/>
    <w:rsid w:val="00B25483"/>
    <w:rsid w:val="00B260FB"/>
    <w:rsid w:val="00B27BAE"/>
    <w:rsid w:val="00B32506"/>
    <w:rsid w:val="00B409F4"/>
    <w:rsid w:val="00B43DE3"/>
    <w:rsid w:val="00B445E3"/>
    <w:rsid w:val="00B44D13"/>
    <w:rsid w:val="00B47F7F"/>
    <w:rsid w:val="00B50CB2"/>
    <w:rsid w:val="00B510D0"/>
    <w:rsid w:val="00B51CCB"/>
    <w:rsid w:val="00B60886"/>
    <w:rsid w:val="00B617C7"/>
    <w:rsid w:val="00B638FE"/>
    <w:rsid w:val="00B642A5"/>
    <w:rsid w:val="00B7029E"/>
    <w:rsid w:val="00B71F6F"/>
    <w:rsid w:val="00B722DE"/>
    <w:rsid w:val="00B72D1B"/>
    <w:rsid w:val="00B805BC"/>
    <w:rsid w:val="00B80F68"/>
    <w:rsid w:val="00B91D45"/>
    <w:rsid w:val="00B92663"/>
    <w:rsid w:val="00B9409B"/>
    <w:rsid w:val="00B97EAE"/>
    <w:rsid w:val="00BA02EB"/>
    <w:rsid w:val="00BA07B5"/>
    <w:rsid w:val="00BA2C89"/>
    <w:rsid w:val="00BA55DC"/>
    <w:rsid w:val="00BA6A0B"/>
    <w:rsid w:val="00BA76CA"/>
    <w:rsid w:val="00BA7A9B"/>
    <w:rsid w:val="00BB3C40"/>
    <w:rsid w:val="00BB5B3B"/>
    <w:rsid w:val="00BC7BC1"/>
    <w:rsid w:val="00BC7FF7"/>
    <w:rsid w:val="00BD4635"/>
    <w:rsid w:val="00BD5B4D"/>
    <w:rsid w:val="00BE0ACB"/>
    <w:rsid w:val="00BE1C64"/>
    <w:rsid w:val="00BE4E8B"/>
    <w:rsid w:val="00BE61E9"/>
    <w:rsid w:val="00BF3592"/>
    <w:rsid w:val="00BF4AB9"/>
    <w:rsid w:val="00BF4F79"/>
    <w:rsid w:val="00C00761"/>
    <w:rsid w:val="00C01D42"/>
    <w:rsid w:val="00C03FCB"/>
    <w:rsid w:val="00C04E91"/>
    <w:rsid w:val="00C05204"/>
    <w:rsid w:val="00C131BB"/>
    <w:rsid w:val="00C13418"/>
    <w:rsid w:val="00C21B39"/>
    <w:rsid w:val="00C238BF"/>
    <w:rsid w:val="00C25AE7"/>
    <w:rsid w:val="00C2738B"/>
    <w:rsid w:val="00C30E5A"/>
    <w:rsid w:val="00C3309B"/>
    <w:rsid w:val="00C33515"/>
    <w:rsid w:val="00C346EC"/>
    <w:rsid w:val="00C3515A"/>
    <w:rsid w:val="00C4035E"/>
    <w:rsid w:val="00C40B55"/>
    <w:rsid w:val="00C41A3E"/>
    <w:rsid w:val="00C43AA6"/>
    <w:rsid w:val="00C47FB2"/>
    <w:rsid w:val="00C528B8"/>
    <w:rsid w:val="00C579DD"/>
    <w:rsid w:val="00C60C47"/>
    <w:rsid w:val="00C61973"/>
    <w:rsid w:val="00C64C4A"/>
    <w:rsid w:val="00C70ED7"/>
    <w:rsid w:val="00C71289"/>
    <w:rsid w:val="00C801E6"/>
    <w:rsid w:val="00C8633F"/>
    <w:rsid w:val="00C86533"/>
    <w:rsid w:val="00C87FFA"/>
    <w:rsid w:val="00C94B0A"/>
    <w:rsid w:val="00C94B2E"/>
    <w:rsid w:val="00C94ECC"/>
    <w:rsid w:val="00CA7C45"/>
    <w:rsid w:val="00CB32C9"/>
    <w:rsid w:val="00CD0437"/>
    <w:rsid w:val="00CD0AF2"/>
    <w:rsid w:val="00CD2B9E"/>
    <w:rsid w:val="00CE2688"/>
    <w:rsid w:val="00CE4BB9"/>
    <w:rsid w:val="00CE597C"/>
    <w:rsid w:val="00CF3954"/>
    <w:rsid w:val="00CF4888"/>
    <w:rsid w:val="00CF5A7B"/>
    <w:rsid w:val="00CF7D6D"/>
    <w:rsid w:val="00D00A47"/>
    <w:rsid w:val="00D01553"/>
    <w:rsid w:val="00D03CB5"/>
    <w:rsid w:val="00D04DE0"/>
    <w:rsid w:val="00D0576B"/>
    <w:rsid w:val="00D05C01"/>
    <w:rsid w:val="00D0799C"/>
    <w:rsid w:val="00D11227"/>
    <w:rsid w:val="00D1378C"/>
    <w:rsid w:val="00D13E7A"/>
    <w:rsid w:val="00D22109"/>
    <w:rsid w:val="00D235AA"/>
    <w:rsid w:val="00D23A53"/>
    <w:rsid w:val="00D248B6"/>
    <w:rsid w:val="00D25547"/>
    <w:rsid w:val="00D27063"/>
    <w:rsid w:val="00D27620"/>
    <w:rsid w:val="00D3223D"/>
    <w:rsid w:val="00D3317B"/>
    <w:rsid w:val="00D358B7"/>
    <w:rsid w:val="00D37B47"/>
    <w:rsid w:val="00D416EB"/>
    <w:rsid w:val="00D41857"/>
    <w:rsid w:val="00D41D07"/>
    <w:rsid w:val="00D42814"/>
    <w:rsid w:val="00D434B2"/>
    <w:rsid w:val="00D43D2A"/>
    <w:rsid w:val="00D44681"/>
    <w:rsid w:val="00D465B8"/>
    <w:rsid w:val="00D46B60"/>
    <w:rsid w:val="00D5015B"/>
    <w:rsid w:val="00D5029E"/>
    <w:rsid w:val="00D50CD7"/>
    <w:rsid w:val="00D5136B"/>
    <w:rsid w:val="00D52A1E"/>
    <w:rsid w:val="00D53F9A"/>
    <w:rsid w:val="00D60B66"/>
    <w:rsid w:val="00D73CC7"/>
    <w:rsid w:val="00D742D8"/>
    <w:rsid w:val="00D7506A"/>
    <w:rsid w:val="00D76A16"/>
    <w:rsid w:val="00D835DF"/>
    <w:rsid w:val="00D84460"/>
    <w:rsid w:val="00D84CFE"/>
    <w:rsid w:val="00D8770E"/>
    <w:rsid w:val="00D9151D"/>
    <w:rsid w:val="00D92962"/>
    <w:rsid w:val="00D95243"/>
    <w:rsid w:val="00DA147E"/>
    <w:rsid w:val="00DA1A97"/>
    <w:rsid w:val="00DA3378"/>
    <w:rsid w:val="00DB06D5"/>
    <w:rsid w:val="00DB11DF"/>
    <w:rsid w:val="00DB2918"/>
    <w:rsid w:val="00DB4469"/>
    <w:rsid w:val="00DB4509"/>
    <w:rsid w:val="00DB53CF"/>
    <w:rsid w:val="00DC132B"/>
    <w:rsid w:val="00DC252D"/>
    <w:rsid w:val="00DC551E"/>
    <w:rsid w:val="00DC5F4D"/>
    <w:rsid w:val="00DC6E94"/>
    <w:rsid w:val="00DD18F2"/>
    <w:rsid w:val="00DD4548"/>
    <w:rsid w:val="00DD50F7"/>
    <w:rsid w:val="00DD5C9B"/>
    <w:rsid w:val="00DE3DBF"/>
    <w:rsid w:val="00DE534E"/>
    <w:rsid w:val="00DE6832"/>
    <w:rsid w:val="00DE6F56"/>
    <w:rsid w:val="00DE7790"/>
    <w:rsid w:val="00DF1875"/>
    <w:rsid w:val="00DF1DF7"/>
    <w:rsid w:val="00DF3AE8"/>
    <w:rsid w:val="00DF6D61"/>
    <w:rsid w:val="00DF7FA0"/>
    <w:rsid w:val="00E0302B"/>
    <w:rsid w:val="00E04ABF"/>
    <w:rsid w:val="00E11E3B"/>
    <w:rsid w:val="00E122D3"/>
    <w:rsid w:val="00E12E85"/>
    <w:rsid w:val="00E14ACA"/>
    <w:rsid w:val="00E155AB"/>
    <w:rsid w:val="00E15CFA"/>
    <w:rsid w:val="00E17E65"/>
    <w:rsid w:val="00E20870"/>
    <w:rsid w:val="00E214E2"/>
    <w:rsid w:val="00E21691"/>
    <w:rsid w:val="00E21A62"/>
    <w:rsid w:val="00E2511B"/>
    <w:rsid w:val="00E42D0D"/>
    <w:rsid w:val="00E452CF"/>
    <w:rsid w:val="00E54FA9"/>
    <w:rsid w:val="00E55FAA"/>
    <w:rsid w:val="00E56983"/>
    <w:rsid w:val="00E56F3E"/>
    <w:rsid w:val="00E647F2"/>
    <w:rsid w:val="00E70455"/>
    <w:rsid w:val="00E72556"/>
    <w:rsid w:val="00E74377"/>
    <w:rsid w:val="00E74D03"/>
    <w:rsid w:val="00E82D5C"/>
    <w:rsid w:val="00E9201B"/>
    <w:rsid w:val="00E95D4F"/>
    <w:rsid w:val="00EA2173"/>
    <w:rsid w:val="00EA35A2"/>
    <w:rsid w:val="00EA43DA"/>
    <w:rsid w:val="00EA46F0"/>
    <w:rsid w:val="00EA7EB6"/>
    <w:rsid w:val="00EB1824"/>
    <w:rsid w:val="00EB1AAE"/>
    <w:rsid w:val="00EB1D8F"/>
    <w:rsid w:val="00EB1F54"/>
    <w:rsid w:val="00EB2F73"/>
    <w:rsid w:val="00EB32BD"/>
    <w:rsid w:val="00EC0684"/>
    <w:rsid w:val="00EC20CE"/>
    <w:rsid w:val="00EC271B"/>
    <w:rsid w:val="00EC53D3"/>
    <w:rsid w:val="00EC691A"/>
    <w:rsid w:val="00ED090E"/>
    <w:rsid w:val="00ED628A"/>
    <w:rsid w:val="00ED6BC4"/>
    <w:rsid w:val="00EE3792"/>
    <w:rsid w:val="00EF019E"/>
    <w:rsid w:val="00EF1456"/>
    <w:rsid w:val="00F0038A"/>
    <w:rsid w:val="00F01FFB"/>
    <w:rsid w:val="00F02CC8"/>
    <w:rsid w:val="00F03722"/>
    <w:rsid w:val="00F07645"/>
    <w:rsid w:val="00F07D14"/>
    <w:rsid w:val="00F112FA"/>
    <w:rsid w:val="00F12174"/>
    <w:rsid w:val="00F12ECA"/>
    <w:rsid w:val="00F1511B"/>
    <w:rsid w:val="00F16055"/>
    <w:rsid w:val="00F16CED"/>
    <w:rsid w:val="00F2311D"/>
    <w:rsid w:val="00F26043"/>
    <w:rsid w:val="00F334FE"/>
    <w:rsid w:val="00F35344"/>
    <w:rsid w:val="00F40528"/>
    <w:rsid w:val="00F4280C"/>
    <w:rsid w:val="00F4467D"/>
    <w:rsid w:val="00F45D30"/>
    <w:rsid w:val="00F4747D"/>
    <w:rsid w:val="00F501CD"/>
    <w:rsid w:val="00F52023"/>
    <w:rsid w:val="00F64F5F"/>
    <w:rsid w:val="00F66B0F"/>
    <w:rsid w:val="00F66EB5"/>
    <w:rsid w:val="00F75006"/>
    <w:rsid w:val="00F77516"/>
    <w:rsid w:val="00F82594"/>
    <w:rsid w:val="00F847C7"/>
    <w:rsid w:val="00F848DA"/>
    <w:rsid w:val="00F948D8"/>
    <w:rsid w:val="00F94CED"/>
    <w:rsid w:val="00F94FBE"/>
    <w:rsid w:val="00F96B3C"/>
    <w:rsid w:val="00FA289C"/>
    <w:rsid w:val="00FA2FD4"/>
    <w:rsid w:val="00FA3783"/>
    <w:rsid w:val="00FA4842"/>
    <w:rsid w:val="00FA650E"/>
    <w:rsid w:val="00FB1FF0"/>
    <w:rsid w:val="00FB45C0"/>
    <w:rsid w:val="00FC0924"/>
    <w:rsid w:val="00FC1550"/>
    <w:rsid w:val="00FD17B4"/>
    <w:rsid w:val="00FD51D7"/>
    <w:rsid w:val="00FD6536"/>
    <w:rsid w:val="00FE6F94"/>
    <w:rsid w:val="00FE76D6"/>
    <w:rsid w:val="00FF05CB"/>
    <w:rsid w:val="00FF0707"/>
    <w:rsid w:val="00FF41E1"/>
    <w:rsid w:val="00FF59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746FA2"/>
  <w15:chartTrackingRefBased/>
  <w15:docId w15:val="{E0A9CDFC-7420-4C6C-A81D-D80927ABD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3792"/>
  </w:style>
  <w:style w:type="paragraph" w:styleId="Heading1">
    <w:name w:val="heading 1"/>
    <w:basedOn w:val="Normal"/>
    <w:next w:val="Normal"/>
    <w:link w:val="Heading1Char"/>
    <w:uiPriority w:val="9"/>
    <w:qFormat/>
    <w:rsid w:val="00B80F68"/>
    <w:pPr>
      <w:keepNext/>
      <w:keepLines/>
      <w:spacing w:before="240" w:after="0"/>
      <w:jc w:val="center"/>
      <w:outlineLvl w:val="0"/>
    </w:pPr>
    <w:rPr>
      <w:rFonts w:ascii="Arial" w:eastAsiaTheme="majorEastAsia" w:hAnsi="Arial" w:cs="Arial"/>
      <w:sz w:val="24"/>
      <w:szCs w:val="32"/>
    </w:rPr>
  </w:style>
  <w:style w:type="paragraph" w:styleId="Heading3">
    <w:name w:val="heading 3"/>
    <w:basedOn w:val="Normal"/>
    <w:next w:val="Normal"/>
    <w:link w:val="Heading3Char"/>
    <w:uiPriority w:val="9"/>
    <w:semiHidden/>
    <w:unhideWhenUsed/>
    <w:qFormat/>
    <w:rsid w:val="001A18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FC092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0F68"/>
    <w:rPr>
      <w:rFonts w:ascii="Arial" w:eastAsiaTheme="majorEastAsia" w:hAnsi="Arial" w:cs="Arial"/>
      <w:sz w:val="24"/>
      <w:szCs w:val="32"/>
    </w:rPr>
  </w:style>
  <w:style w:type="paragraph" w:styleId="ListParagraph">
    <w:name w:val="List Paragraph"/>
    <w:basedOn w:val="Normal"/>
    <w:uiPriority w:val="34"/>
    <w:qFormat/>
    <w:rsid w:val="006F54CE"/>
    <w:pPr>
      <w:ind w:left="720"/>
      <w:contextualSpacing/>
    </w:pPr>
  </w:style>
  <w:style w:type="paragraph" w:styleId="TOCHeading">
    <w:name w:val="TOC Heading"/>
    <w:basedOn w:val="Heading1"/>
    <w:next w:val="Normal"/>
    <w:uiPriority w:val="39"/>
    <w:unhideWhenUsed/>
    <w:qFormat/>
    <w:rsid w:val="006F54CE"/>
    <w:pPr>
      <w:jc w:val="left"/>
      <w:outlineLvl w:val="9"/>
    </w:pPr>
    <w:rPr>
      <w:rFonts w:asciiTheme="majorHAnsi" w:hAnsiTheme="majorHAnsi" w:cstheme="majorBidi"/>
      <w:b/>
      <w:color w:val="2F5496" w:themeColor="accent1" w:themeShade="BF"/>
      <w:sz w:val="32"/>
      <w:lang w:val="en-US"/>
    </w:rPr>
  </w:style>
  <w:style w:type="paragraph" w:styleId="TOC1">
    <w:name w:val="toc 1"/>
    <w:basedOn w:val="Normal"/>
    <w:next w:val="Normal"/>
    <w:autoRedefine/>
    <w:uiPriority w:val="39"/>
    <w:unhideWhenUsed/>
    <w:rsid w:val="006F54CE"/>
    <w:pPr>
      <w:spacing w:after="100"/>
    </w:pPr>
  </w:style>
  <w:style w:type="character" w:styleId="Hyperlink">
    <w:name w:val="Hyperlink"/>
    <w:basedOn w:val="DefaultParagraphFont"/>
    <w:uiPriority w:val="99"/>
    <w:unhideWhenUsed/>
    <w:rsid w:val="006F54CE"/>
    <w:rPr>
      <w:color w:val="0563C1" w:themeColor="hyperlink"/>
      <w:u w:val="single"/>
    </w:rPr>
  </w:style>
  <w:style w:type="paragraph" w:styleId="BalloonText">
    <w:name w:val="Balloon Text"/>
    <w:basedOn w:val="Normal"/>
    <w:link w:val="BalloonTextChar"/>
    <w:uiPriority w:val="99"/>
    <w:semiHidden/>
    <w:unhideWhenUsed/>
    <w:rsid w:val="006842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420F"/>
    <w:rPr>
      <w:rFonts w:ascii="Segoe UI" w:hAnsi="Segoe UI" w:cs="Segoe UI"/>
      <w:sz w:val="18"/>
      <w:szCs w:val="18"/>
    </w:rPr>
  </w:style>
  <w:style w:type="table" w:styleId="TableGrid">
    <w:name w:val="Table Grid"/>
    <w:basedOn w:val="TableNormal"/>
    <w:uiPriority w:val="39"/>
    <w:rsid w:val="00684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D04DE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9415FB"/>
    <w:pPr>
      <w:spacing w:after="0" w:line="240" w:lineRule="auto"/>
    </w:pPr>
  </w:style>
  <w:style w:type="character" w:customStyle="1" w:styleId="Heading4Char">
    <w:name w:val="Heading 4 Char"/>
    <w:basedOn w:val="DefaultParagraphFont"/>
    <w:link w:val="Heading4"/>
    <w:uiPriority w:val="9"/>
    <w:semiHidden/>
    <w:rsid w:val="00FC0924"/>
    <w:rPr>
      <w:rFonts w:asciiTheme="majorHAnsi" w:eastAsiaTheme="majorEastAsia" w:hAnsiTheme="majorHAnsi" w:cstheme="majorBidi"/>
      <w:i/>
      <w:iCs/>
      <w:color w:val="2F5496" w:themeColor="accent1" w:themeShade="BF"/>
    </w:rPr>
  </w:style>
  <w:style w:type="paragraph" w:customStyle="1" w:styleId="p">
    <w:name w:val="p"/>
    <w:basedOn w:val="Normal"/>
    <w:rsid w:val="008B494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8B4943"/>
    <w:rPr>
      <w:i/>
      <w:iCs/>
    </w:rPr>
  </w:style>
  <w:style w:type="character" w:customStyle="1" w:styleId="Heading3Char">
    <w:name w:val="Heading 3 Char"/>
    <w:basedOn w:val="DefaultParagraphFont"/>
    <w:link w:val="Heading3"/>
    <w:uiPriority w:val="9"/>
    <w:semiHidden/>
    <w:rsid w:val="001A1835"/>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1A183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116F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F2C"/>
  </w:style>
  <w:style w:type="paragraph" w:styleId="Footer">
    <w:name w:val="footer"/>
    <w:basedOn w:val="Normal"/>
    <w:link w:val="FooterChar"/>
    <w:uiPriority w:val="99"/>
    <w:unhideWhenUsed/>
    <w:rsid w:val="00116F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F2C"/>
  </w:style>
  <w:style w:type="character" w:styleId="CommentReference">
    <w:name w:val="annotation reference"/>
    <w:basedOn w:val="DefaultParagraphFont"/>
    <w:uiPriority w:val="99"/>
    <w:semiHidden/>
    <w:unhideWhenUsed/>
    <w:rsid w:val="001820E1"/>
    <w:rPr>
      <w:sz w:val="16"/>
      <w:szCs w:val="16"/>
    </w:rPr>
  </w:style>
  <w:style w:type="paragraph" w:styleId="CommentText">
    <w:name w:val="annotation text"/>
    <w:basedOn w:val="Normal"/>
    <w:link w:val="CommentTextChar"/>
    <w:uiPriority w:val="99"/>
    <w:unhideWhenUsed/>
    <w:rsid w:val="001820E1"/>
    <w:pPr>
      <w:spacing w:line="240" w:lineRule="auto"/>
    </w:pPr>
    <w:rPr>
      <w:sz w:val="20"/>
      <w:szCs w:val="20"/>
    </w:rPr>
  </w:style>
  <w:style w:type="character" w:customStyle="1" w:styleId="CommentTextChar">
    <w:name w:val="Comment Text Char"/>
    <w:basedOn w:val="DefaultParagraphFont"/>
    <w:link w:val="CommentText"/>
    <w:uiPriority w:val="99"/>
    <w:rsid w:val="001820E1"/>
    <w:rPr>
      <w:sz w:val="20"/>
      <w:szCs w:val="20"/>
    </w:rPr>
  </w:style>
  <w:style w:type="paragraph" w:styleId="CommentSubject">
    <w:name w:val="annotation subject"/>
    <w:basedOn w:val="CommentText"/>
    <w:next w:val="CommentText"/>
    <w:link w:val="CommentSubjectChar"/>
    <w:uiPriority w:val="99"/>
    <w:semiHidden/>
    <w:unhideWhenUsed/>
    <w:rsid w:val="00E95D4F"/>
    <w:rPr>
      <w:b/>
      <w:bCs/>
    </w:rPr>
  </w:style>
  <w:style w:type="character" w:customStyle="1" w:styleId="CommentSubjectChar">
    <w:name w:val="Comment Subject Char"/>
    <w:basedOn w:val="CommentTextChar"/>
    <w:link w:val="CommentSubject"/>
    <w:uiPriority w:val="99"/>
    <w:semiHidden/>
    <w:rsid w:val="00E95D4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2194">
      <w:bodyDiv w:val="1"/>
      <w:marLeft w:val="0"/>
      <w:marRight w:val="0"/>
      <w:marTop w:val="0"/>
      <w:marBottom w:val="0"/>
      <w:divBdr>
        <w:top w:val="none" w:sz="0" w:space="0" w:color="auto"/>
        <w:left w:val="none" w:sz="0" w:space="0" w:color="auto"/>
        <w:bottom w:val="none" w:sz="0" w:space="0" w:color="auto"/>
        <w:right w:val="none" w:sz="0" w:space="0" w:color="auto"/>
      </w:divBdr>
    </w:div>
    <w:div w:id="431172490">
      <w:bodyDiv w:val="1"/>
      <w:marLeft w:val="0"/>
      <w:marRight w:val="0"/>
      <w:marTop w:val="0"/>
      <w:marBottom w:val="0"/>
      <w:divBdr>
        <w:top w:val="none" w:sz="0" w:space="0" w:color="auto"/>
        <w:left w:val="none" w:sz="0" w:space="0" w:color="auto"/>
        <w:bottom w:val="none" w:sz="0" w:space="0" w:color="auto"/>
        <w:right w:val="none" w:sz="0" w:space="0" w:color="auto"/>
      </w:divBdr>
    </w:div>
    <w:div w:id="658195402">
      <w:bodyDiv w:val="1"/>
      <w:marLeft w:val="0"/>
      <w:marRight w:val="0"/>
      <w:marTop w:val="0"/>
      <w:marBottom w:val="0"/>
      <w:divBdr>
        <w:top w:val="none" w:sz="0" w:space="0" w:color="auto"/>
        <w:left w:val="none" w:sz="0" w:space="0" w:color="auto"/>
        <w:bottom w:val="none" w:sz="0" w:space="0" w:color="auto"/>
        <w:right w:val="none" w:sz="0" w:space="0" w:color="auto"/>
      </w:divBdr>
    </w:div>
    <w:div w:id="1347756675">
      <w:bodyDiv w:val="1"/>
      <w:marLeft w:val="0"/>
      <w:marRight w:val="0"/>
      <w:marTop w:val="0"/>
      <w:marBottom w:val="0"/>
      <w:divBdr>
        <w:top w:val="none" w:sz="0" w:space="0" w:color="auto"/>
        <w:left w:val="none" w:sz="0" w:space="0" w:color="auto"/>
        <w:bottom w:val="none" w:sz="0" w:space="0" w:color="auto"/>
        <w:right w:val="none" w:sz="0" w:space="0" w:color="auto"/>
      </w:divBdr>
    </w:div>
    <w:div w:id="137088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218DB-98BB-4E0A-9C03-7CEAB08EF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5430</Words>
  <Characters>30951</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 Hebert (Staff)</dc:creator>
  <cp:keywords/>
  <dc:description/>
  <cp:lastModifiedBy>Leah Morrison (lib)</cp:lastModifiedBy>
  <cp:revision>2</cp:revision>
  <dcterms:created xsi:type="dcterms:W3CDTF">2022-12-01T10:09:00Z</dcterms:created>
  <dcterms:modified xsi:type="dcterms:W3CDTF">2022-12-01T10:09:00Z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http://www.zotero.org/styles/british-journal-of-anaesthesia</vt:lpwstr>
  </property>
  <property fmtid="{D5CDD505-2E9C-101B-9397-08002B2CF9AE}" pid="9" name="Mendeley Recent Style Name 3_1">
    <vt:lpwstr>British Journal of Anaesthesia</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http://www.zotero.org/styles/pain</vt:lpwstr>
  </property>
  <property fmtid="{D5CDD505-2E9C-101B-9397-08002B2CF9AE}" pid="19" name="Mendeley Recent Style Name 8_1">
    <vt:lpwstr>PAIN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ies>
</file>